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tif" ContentType="image/tiff"/>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jc w:val="left"/>
        <w:rPr/>
      </w:pPr>
      <w:r>
        <w:rPr>
          <w:lang w:val="en-US" w:eastAsia="ja-JP"/>
        </w:rPr>
        <w:t>Pattern Manual for Service Systems</w:t>
      </w:r>
      <w:r>
        <w:rPr>
          <w:lang w:val="en-GB"/>
        </w:rPr>
        <w:t xml:space="preserve"> Thinking: A proposal for discussion</w:t>
      </w:r>
    </w:p>
    <w:p>
      <w:pPr>
        <w:pStyle w:val="Normal"/>
        <w:rPr>
          <w:lang w:val="en-GB"/>
        </w:rPr>
      </w:pPr>
      <w:r>
        <w:rPr>
          <w:lang w:val="en-GB"/>
        </w:rPr>
      </w:r>
    </w:p>
    <w:p>
      <w:pPr>
        <w:pStyle w:val="Authors"/>
        <w:rPr/>
      </w:pPr>
      <w:r>
        <w:rPr>
          <w:lang w:val="en-GB"/>
        </w:rPr>
        <w:t xml:space="preserve">David Ing, Aalto University and the International Society for the Systems Sciences, </w:t>
      </w:r>
      <w:hyperlink r:id="rId2">
        <w:r>
          <w:rPr>
            <w:rStyle w:val="InternetLink"/>
            <w:lang w:val="en-GB"/>
          </w:rPr>
          <w:t>coevolving@gmail.com</w:t>
        </w:r>
      </w:hyperlink>
    </w:p>
    <w:p>
      <w:pPr>
        <w:pStyle w:val="BerschriftohneNummerierung"/>
        <w:rPr>
          <w:lang w:val="en-GB"/>
        </w:rPr>
      </w:pPr>
      <w:r>
        <w:rPr>
          <w:lang w:val="en-GB"/>
        </w:rPr>
      </w:r>
    </w:p>
    <w:p>
      <w:pPr>
        <w:pStyle w:val="BerschriftohneNummerierung"/>
        <w:rPr>
          <w:lang w:val="en-GB"/>
        </w:rPr>
      </w:pPr>
      <w:r>
        <w:rPr>
          <w:lang w:val="en-GB"/>
        </w:rPr>
        <w:t>Abstract:</w:t>
      </w:r>
    </w:p>
    <w:p>
      <w:pPr>
        <w:pStyle w:val="Abstract"/>
        <w:rPr/>
      </w:pPr>
      <w:r>
        <w:rPr>
          <w:i w:val="false"/>
          <w:lang w:val="en-GB"/>
        </w:rPr>
        <w:t>What is properly required to take the learning on generative pattern languages from the built environment and software development communities, to a world of service system thinking?</w:t>
      </w:r>
    </w:p>
    <w:p>
      <w:pPr>
        <w:pStyle w:val="Abstract"/>
        <w:rPr/>
      </w:pPr>
      <w:r>
        <w:rPr>
          <w:i w:val="false"/>
          <w:lang w:val="en-GB"/>
        </w:rPr>
        <w:t>This position paper winds back to early days of Center for Environmental Studies, and presents an alternative view on the 1968 Multi-Service Center work, informed by 21</w:t>
      </w:r>
      <w:r>
        <w:rPr>
          <w:i w:val="false"/>
          <w:vertAlign w:val="superscript"/>
          <w:lang w:val="en-GB"/>
        </w:rPr>
        <w:t>st</w:t>
      </w:r>
      <w:r>
        <w:rPr>
          <w:i w:val="false"/>
          <w:lang w:val="en-GB"/>
        </w:rPr>
        <w:t xml:space="preserve"> century developments in service systems science.   The conventional format for a pattern language has settled into a three-part rule of relations between context, problem and solution.  An alternative format of (i) voices on issues (who + what), (ii) affording </w:t>
      </w:r>
      <w:r>
        <w:rPr>
          <w:i w:val="false"/>
          <w:lang w:val="en-GB"/>
        </w:rPr>
        <w:t>value(s)</w:t>
      </w:r>
      <w:r>
        <w:rPr>
          <w:i w:val="false"/>
          <w:lang w:val="en-GB"/>
        </w:rPr>
        <w:t xml:space="preserve"> (how + why), and (iii) spatio-temporal frames (where + when) is proposed, with a straw man example.</w:t>
      </w:r>
    </w:p>
    <w:p>
      <w:pPr>
        <w:pStyle w:val="Abstract"/>
        <w:rPr/>
      </w:pPr>
      <w:r>
        <w:rPr>
          <w:i w:val="false"/>
          <w:lang w:val="en-GB"/>
        </w:rPr>
        <w:t>Methods from the 1985 Eishin campus project, published in 2012, are compared against practices that have become common in agile development.</w:t>
      </w:r>
    </w:p>
    <w:p>
      <w:pPr>
        <w:pStyle w:val="Abstract"/>
        <w:rPr/>
      </w:pPr>
      <w:r>
        <w:rPr>
          <w:i w:val="false"/>
          <w:lang w:val="en-GB"/>
        </w:rPr>
        <w:t>The conceptual shifts from built environment to service systems thinking are expressed as (i) amplifications, (ii) rephilosophizations, and (iii) reinterpretations.  The generation and legitimization of pattern languages is considered across a community, with a shift from publishing in books on paper to collaborating with online technologies such as wiki.</w:t>
      </w:r>
    </w:p>
    <w:p>
      <w:pPr>
        <w:pStyle w:val="Abstract"/>
        <w:rPr/>
      </w:pPr>
      <w:r>
        <w:rPr>
          <w:i w:val="false"/>
          <w:lang w:val="en-GB"/>
        </w:rPr>
        <w:t>At the 2014 PLoP and the 2015 PURPLSOC conferences, the idea of extending the pattern language for environment structure into a new domain of service systems thinking was introduced.  In 2016, this idea has been further developed as a baseline for further discussion.</w:t>
      </w:r>
    </w:p>
    <w:p>
      <w:pPr>
        <w:pStyle w:val="Abstract"/>
        <w:rPr/>
      </w:pPr>
      <w:r>
        <w:rPr>
          <w:rStyle w:val="BerschriftohneNummerierungZchn"/>
          <w:rFonts w:cs="Arial"/>
          <w:i w:val="false"/>
          <w:lang w:val="en-GB"/>
        </w:rPr>
        <w:t>Keywords</w:t>
      </w:r>
      <w:r>
        <w:rPr>
          <w:rStyle w:val="BerschriftohneNummerierungZchn"/>
          <w:i w:val="false"/>
          <w:lang w:val="en-GB"/>
        </w:rPr>
        <w:t>:</w:t>
      </w:r>
      <w:r>
        <w:rPr>
          <w:lang w:val="en-GB"/>
        </w:rPr>
        <w:t xml:space="preserve"> service systems; systems thinking; issue-seeking; interactive value; wayfaring</w:t>
      </w:r>
    </w:p>
    <w:p>
      <w:pPr>
        <w:pStyle w:val="Normal"/>
        <w:rPr>
          <w:lang w:val="en-GB"/>
        </w:rPr>
      </w:pPr>
      <w:r>
        <w:rPr>
          <w:lang w:val="en-GB"/>
        </w:rPr>
      </w:r>
    </w:p>
    <w:p>
      <w:pPr>
        <w:pStyle w:val="Normal"/>
        <w:rPr>
          <w:lang w:val="en-GB"/>
        </w:rPr>
      </w:pPr>
      <w:r>
        <w:rPr>
          <w:lang w:val="en-GB"/>
        </w:rPr>
      </w:r>
    </w:p>
    <w:p>
      <w:pPr>
        <w:pStyle w:val="Normal"/>
        <w:jc w:val="left"/>
        <w:rPr>
          <w:lang w:val="en-GB"/>
        </w:rPr>
      </w:pPr>
      <w:r>
        <w:rPr>
          <w:lang w:val="en-GB"/>
        </w:rPr>
      </w:r>
      <w:r>
        <w:br w:type="page"/>
      </w:r>
    </w:p>
    <w:p>
      <w:pPr>
        <w:pStyle w:val="Heading1"/>
        <w:numPr>
          <w:ilvl w:val="0"/>
          <w:numId w:val="2"/>
        </w:numPr>
        <w:ind w:left="0" w:hanging="0"/>
        <w:rPr/>
      </w:pPr>
      <w:r>
        <w:rPr>
          <w:lang w:val="en-GB"/>
        </w:rPr>
        <w:t>Introduction</w:t>
      </w:r>
    </w:p>
    <w:p>
      <w:pPr>
        <w:pStyle w:val="Normal"/>
        <w:rPr/>
      </w:pPr>
      <w:r>
        <w:rPr>
          <w:lang w:val="en-GB"/>
        </w:rPr>
        <w:t>As an architect of built environments, Christopher Alexander’s responsibilities were mostly for the production of physical structures.  In (at least) two cases, his work was part of larger transformations in service systems.  Coming from a systems thinking perspective, in which ways can service systems thinkers learn from the doxa (i.e. conventional beliefs) of pattern language experiences to date, and where do domain differences call for adjustments?</w:t>
      </w:r>
    </w:p>
    <w:p>
      <w:pPr>
        <w:pStyle w:val="Normal"/>
        <w:rPr/>
      </w:pPr>
      <w:r>
        <w:rPr>
          <w:lang w:val="en-GB"/>
        </w:rPr>
        <w:t xml:space="preserve">At the chartering of the Center for Environment Studies in 1967, the outline of a pattern format described in </w:t>
      </w:r>
      <w:r>
        <w:rPr>
          <w:i/>
          <w:iCs/>
          <w:lang w:val="en-GB"/>
        </w:rPr>
        <w:t>Pattern Manual</w:t>
      </w:r>
      <w:r>
        <w:rPr>
          <w:lang w:val="en-GB"/>
        </w:rPr>
        <w:t xml:space="preserve"> was:</w:t>
      </w:r>
    </w:p>
    <w:p>
      <w:pPr>
        <w:pStyle w:val="Quote"/>
        <w:rPr/>
      </w:pPr>
      <w:r>
        <w:rPr/>
        <w:t xml:space="preserve">… </w:t>
      </w:r>
      <w:r>
        <w:rPr/>
        <w:t xml:space="preserve">intended to establish a single format for stating ideas about the physical structure of the environment.  With such a format ideas will become comparable, and any individual will be able to criticize and modify ideas he has reason to disagree with.  We call these ideas </w:t>
      </w:r>
      <w:r>
        <w:rPr>
          <w:u w:val="single"/>
        </w:rPr>
        <w:t>patterns</w:t>
      </w:r>
      <w:r>
        <w:rPr/>
        <w:t>.  [….]</w:t>
      </w:r>
    </w:p>
    <w:p>
      <w:pPr>
        <w:pStyle w:val="Quote"/>
        <w:rPr/>
      </w:pPr>
      <w:r>
        <w:rPr/>
        <w:t>The idea of a pattern format common to every idea concering the physical structure of the environment raises an immediate problem.  On the one hand, no one wants a straightjacket on his ideas; no one likes formats that a forced or boring.  On the other hand, we want our ideas to improve under public scrutiny, and we want our good ideas to be potentially combined with other good ideas.  [….]</w:t>
      </w:r>
    </w:p>
    <w:p>
      <w:pPr>
        <w:pStyle w:val="Quote"/>
        <w:rPr/>
      </w:pPr>
      <w:r>
        <w:rPr/>
        <w:t>A minimal format must bring out and emphasize only these parts of ideas that can grow and improve under public scrutiny.  It must dramatize the fact that each idea is formulation within a general language, a language that consistently talks about the structure of the environment.  Once we are agreed upon such a format, everything else can be left to individual style.  [….]</w:t>
      </w:r>
    </w:p>
    <w:p>
      <w:pPr>
        <w:pStyle w:val="Quote"/>
        <w:rPr/>
      </w:pPr>
      <w:r>
        <w:rPr/>
        <w:t xml:space="preserve">The format described in this manual is intended to solve this problem.  We begin with the following hypothesis:  Every time a designer creates a pattern (or, for that matter, entertains </w:t>
      </w:r>
      <w:r>
        <w:rPr>
          <w:u w:val="single"/>
        </w:rPr>
        <w:t>any</w:t>
      </w:r>
      <w:r>
        <w:rPr/>
        <w:t xml:space="preserve"> idea about the physical environment), he essentially goes through a three-step process.  He considers a PROBLEM, invents a PATTERN to solve the problem, and makes mental note of the range of CONTEXTS where the pattern will solve the problem.  [….]</w:t>
      </w:r>
    </w:p>
    <w:p>
      <w:pPr>
        <w:pStyle w:val="Quote"/>
        <w:rPr/>
      </w:pPr>
      <w:r>
        <w:rPr/>
        <w:t xml:space="preserve">The format says that whenever a certain CONTEXT exists, a certain PROBLEM will arise; the stated PATTERN will solve the PROBLEM and there should be provided in the CONTEXT.  While it is not claimed that the PATTERN specified is the only solution to the PROBLEM, it is implied that unless the PATTERN </w:t>
      </w:r>
      <w:r>
        <w:rPr>
          <w:u w:val="single"/>
        </w:rPr>
        <w:t>or an equivalent</w:t>
      </w:r>
      <w:r>
        <w:rPr/>
        <w:t xml:space="preserve"> is provided, the PROBLEM will go unsolved </w:t>
      </w:r>
      <w:bookmarkStart w:id="0" w:name="__UnoMark__23518_140394355"/>
      <w:bookmarkStart w:id="1" w:name="__UnoMark__17297_140394355"/>
      <w:bookmarkStart w:id="2" w:name="__UnoMark__15911_140394355"/>
      <w:bookmarkStart w:id="3" w:name="ZOTERO_BREF_w3mHYr6TAy1E"/>
      <w:bookmarkStart w:id="4" w:name="__UnoMark__40733_2025191570"/>
      <w:bookmarkStart w:id="5" w:name="__UnoMark__41949_2025191570"/>
      <w:bookmarkStart w:id="6" w:name="__UnoMark__43200_2025191570"/>
      <w:bookmarkStart w:id="7" w:name="__UnoMark__44460_2025191570"/>
      <w:r>
        <w:rPr>
          <w:b w:val="false"/>
          <w:i w:val="false"/>
          <w:caps w:val="false"/>
          <w:smallCaps w:val="false"/>
          <w:position w:val="0"/>
          <w:sz w:val="22"/>
          <w:sz w:val="22"/>
          <w:u w:val="none"/>
          <w:vertAlign w:val="baseline"/>
        </w:rPr>
        <w:t>(Alexander, Ishikawa, &amp; Silverstein, 1967, pp. 1–4)</w:t>
      </w:r>
      <w:bookmarkEnd w:id="0"/>
      <w:bookmarkEnd w:id="1"/>
      <w:bookmarkEnd w:id="2"/>
      <w:bookmarkEnd w:id="3"/>
      <w:bookmarkEnd w:id="4"/>
      <w:bookmarkEnd w:id="5"/>
      <w:bookmarkEnd w:id="6"/>
      <w:bookmarkEnd w:id="7"/>
      <w:r>
        <w:rPr/>
        <w:t>.</w:t>
      </w:r>
    </w:p>
    <w:p>
      <w:pPr>
        <w:pStyle w:val="Normal"/>
        <w:rPr/>
      </w:pPr>
      <w:r>
        <w:rPr/>
        <w:t xml:space="preserve">While this pattern format would subsequently evolve subtlely, the intent of problem solving in context in physical environments would persist.  For a new domain of service systems, a new pattern format is proposed for the intent of exploring </w:t>
      </w:r>
      <w:r>
        <w:rPr>
          <w:i/>
          <w:iCs/>
        </w:rPr>
        <w:t>voices on issues</w:t>
      </w:r>
      <w:r>
        <w:rPr/>
        <w:t xml:space="preserve">, considering </w:t>
      </w:r>
      <w:r>
        <w:rPr>
          <w:i/>
          <w:iCs/>
        </w:rPr>
        <w:t xml:space="preserve">affording </w:t>
      </w:r>
      <w:r>
        <w:rPr>
          <w:i/>
          <w:iCs/>
        </w:rPr>
        <w:t>value(s)</w:t>
      </w:r>
      <w:r>
        <w:rPr>
          <w:i/>
          <w:iCs/>
        </w:rPr>
        <w:t>,</w:t>
      </w:r>
      <w:r>
        <w:rPr/>
        <w:t xml:space="preserve"> in ranges of </w:t>
      </w:r>
      <w:r>
        <w:rPr>
          <w:i/>
          <w:iCs/>
        </w:rPr>
        <w:t>spatio-temporal frames</w:t>
      </w:r>
      <w:r>
        <w:rPr/>
        <w:t>.  With the original pattern format as a reference, this new pattern format is presented with concrete examples, associated methods and comparisons, for discussion.</w:t>
      </w:r>
    </w:p>
    <w:p>
      <w:pPr>
        <w:pStyle w:val="Normal"/>
        <w:rPr/>
      </w:pPr>
      <w:r>
        <w:rPr>
          <w:lang w:val="en-GB"/>
        </w:rPr>
        <w:t xml:space="preserve">A service system can be defined as "a dynamic value-cocreation configuration of resources, including people, organizations, shared information (language, laws, measures, methods), and technology, all connected internally and externally to other service systems by value propositions" </w:t>
      </w:r>
      <w:bookmarkStart w:id="8" w:name="__UnoMark__23519_140394355"/>
      <w:bookmarkStart w:id="9" w:name="__UnoMark__17298_140394355"/>
      <w:bookmarkStart w:id="10" w:name="__UnoMark__15912_140394355"/>
      <w:bookmarkStart w:id="11" w:name="__UnoMark__6919_41873585"/>
      <w:bookmarkStart w:id="12" w:name="__UnoMark__6321_41873585"/>
      <w:bookmarkStart w:id="13" w:name="__UnoMark__5828_41873585"/>
      <w:bookmarkStart w:id="14" w:name="__UnoMark__5315_41873585"/>
      <w:bookmarkStart w:id="15" w:name="__UnoMark__4826_41873585"/>
      <w:bookmarkStart w:id="16" w:name="ZOTERO_BREF_NABc3GzKV4ik"/>
      <w:bookmarkStart w:id="17" w:name="__UnoMark__3951_348219782"/>
      <w:bookmarkStart w:id="18" w:name="__UnoMark__4384_348219782"/>
      <w:bookmarkStart w:id="19" w:name="__UnoMark__12309_1244819659"/>
      <w:bookmarkStart w:id="20" w:name="__UnoMark__5751_1443136783"/>
      <w:bookmarkStart w:id="21" w:name="__UnoMark__7397_41873585"/>
      <w:bookmarkStart w:id="22" w:name="__UnoMark__11821_722878254"/>
      <w:bookmarkStart w:id="23" w:name="__UnoMark__12489_722878254"/>
      <w:bookmarkStart w:id="24" w:name="__UnoMark__13170_722878254"/>
      <w:bookmarkStart w:id="25" w:name="__UnoMark__7118_1586897740"/>
      <w:bookmarkStart w:id="26" w:name="__UnoMark__14924_1661744717"/>
      <w:bookmarkStart w:id="27" w:name="__UnoMark__15798_1661744717"/>
      <w:bookmarkStart w:id="28" w:name="__UnoMark__16672_1661744717"/>
      <w:bookmarkStart w:id="29" w:name="__UnoMark__17563_1661744717"/>
      <w:bookmarkStart w:id="30" w:name="__UnoMark__17883_1661744717"/>
      <w:bookmarkStart w:id="31" w:name="__UnoMark__12882_1244819659"/>
      <w:bookmarkStart w:id="32" w:name="__UnoMark__12739_1244819659"/>
      <w:bookmarkStart w:id="33" w:name="__UnoMark__18459_1880123655"/>
      <w:bookmarkStart w:id="34" w:name="__UnoMark__17348_1880123655"/>
      <w:bookmarkStart w:id="35" w:name="__UnoMark__16301_1880123655"/>
      <w:bookmarkStart w:id="36" w:name="__UnoMark__10958_283745954"/>
      <w:bookmarkStart w:id="37" w:name="__UnoMark__10677_283745954"/>
      <w:bookmarkStart w:id="38" w:name="__UnoMark__9581_283745954"/>
      <w:bookmarkStart w:id="39" w:name="__UnoMark__8760_283745954"/>
      <w:bookmarkStart w:id="40" w:name="__UnoMark__9407_435217427"/>
      <w:bookmarkStart w:id="41" w:name="__UnoMark__25328_497913431"/>
      <w:bookmarkStart w:id="42" w:name="__UnoMark__24467_497913431"/>
      <w:bookmarkStart w:id="43" w:name="__UnoMark__23047_497913431"/>
      <w:bookmarkStart w:id="44" w:name="__UnoMark__22288_497913431"/>
      <w:bookmarkStart w:id="45" w:name="__UnoMark__7902_497913431"/>
      <w:bookmarkStart w:id="46" w:name="__UnoMark__11377_1492540610"/>
      <w:bookmarkStart w:id="47" w:name="__UnoMark__10757_1492540610"/>
      <w:bookmarkStart w:id="48" w:name="__UnoMark__10123_1492540610"/>
      <w:bookmarkStart w:id="49" w:name="__UnoMark__9524_1492540610"/>
      <w:bookmarkStart w:id="50" w:name="__UnoMark__8928_1492540610"/>
      <w:bookmarkStart w:id="51" w:name="__UnoMark__6078_1492540610"/>
      <w:bookmarkStart w:id="52" w:name="__UnoMark__5493_1492540610"/>
      <w:bookmarkStart w:id="53" w:name="__UnoMark__4182_599023520"/>
      <w:bookmarkStart w:id="54" w:name="__UnoMark__3665_599023520"/>
      <w:bookmarkStart w:id="55" w:name="__UnoMark__23751_497913431"/>
      <w:bookmarkStart w:id="56" w:name="__UnoMark__27264_836371768"/>
      <w:bookmarkStart w:id="57" w:name="__UnoMark__28409_836371768"/>
      <w:bookmarkStart w:id="58" w:name="__UnoMark__29583_836371768"/>
      <w:bookmarkStart w:id="59" w:name="__UnoMark__30744_836371768"/>
      <w:bookmarkStart w:id="60" w:name="__UnoMark__40734_2025191570"/>
      <w:bookmarkStart w:id="61" w:name="__UnoMark__41950_2025191570"/>
      <w:bookmarkStart w:id="62" w:name="__UnoMark__43201_2025191570"/>
      <w:bookmarkStart w:id="63" w:name="__UnoMark__44461_2025191570"/>
      <w:r>
        <w:rPr>
          <w:lang w:val="en-GB"/>
        </w:rPr>
        <w:t>(Maglio, Vargo, Caswell, &amp; Spohrer, 2009, p. 399)</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lang w:val="en-GB"/>
        </w:rPr>
        <w:t xml:space="preserve">.  </w:t>
      </w:r>
    </w:p>
    <w:p>
      <w:pPr>
        <w:pStyle w:val="Quote"/>
        <w:rPr/>
      </w:pPr>
      <w:r>
        <w:rPr>
          <w:lang w:val="en-GB"/>
        </w:rPr>
        <w:t xml:space="preserve">The smallest service system centers on an individual as he or she interacts with others, and the largest service system comprises the global economy. Cities, city departments, businesses, business departments, nations, and government agencies are all service systems. Every service system is both a provider and client of service that is connected by value propositions in value chains, value networks, or value-creating system </w:t>
      </w:r>
      <w:bookmarkStart w:id="64" w:name="__UnoMark__23520_140394355"/>
      <w:bookmarkStart w:id="65" w:name="__UnoMark__17299_140394355"/>
      <w:bookmarkStart w:id="66" w:name="__UnoMark__15913_140394355"/>
      <w:bookmarkStart w:id="67" w:name="__UnoMark__5316_41873585"/>
      <w:bookmarkStart w:id="68" w:name="__UnoMark__7398_41873585"/>
      <w:bookmarkStart w:id="69" w:name="__UnoMark__6920_41873585"/>
      <w:bookmarkStart w:id="70" w:name="__UnoMark__6322_41873585"/>
      <w:bookmarkStart w:id="71" w:name="__UnoMark__5829_41873585"/>
      <w:bookmarkStart w:id="72" w:name="__UnoMark__4827_41873585"/>
      <w:bookmarkStart w:id="73" w:name="__UnoMark__3950_348219782"/>
      <w:bookmarkStart w:id="74" w:name="ZOTERO_BREF_AHc9IJdjhnpi"/>
      <w:bookmarkStart w:id="75" w:name="__UnoMark__4385_348219782"/>
      <w:bookmarkStart w:id="76" w:name="__UnoMark__5752_1443136783"/>
      <w:bookmarkStart w:id="77" w:name="__UnoMark__11822_722878254"/>
      <w:bookmarkStart w:id="78" w:name="__UnoMark__12490_722878254"/>
      <w:bookmarkStart w:id="79" w:name="__UnoMark__13171_722878254"/>
      <w:bookmarkStart w:id="80" w:name="__UnoMark__7119_1586897740"/>
      <w:bookmarkStart w:id="81" w:name="__UnoMark__14925_1661744717"/>
      <w:bookmarkStart w:id="82" w:name="__UnoMark__15799_1661744717"/>
      <w:bookmarkStart w:id="83" w:name="__UnoMark__16673_1661744717"/>
      <w:bookmarkStart w:id="84" w:name="__UnoMark__17564_1661744717"/>
      <w:bookmarkStart w:id="85" w:name="__UnoMark__17884_1661744717"/>
      <w:bookmarkStart w:id="86" w:name="__UnoMark__12740_1244819659"/>
      <w:bookmarkStart w:id="87" w:name="__UnoMark__12310_1244819659"/>
      <w:bookmarkStart w:id="88" w:name="__UnoMark__23048_497913431"/>
      <w:bookmarkStart w:id="89" w:name="__UnoMark__18460_1880123655"/>
      <w:bookmarkStart w:id="90" w:name="__UnoMark__17349_1880123655"/>
      <w:bookmarkStart w:id="91" w:name="__UnoMark__16302_1880123655"/>
      <w:bookmarkStart w:id="92" w:name="__UnoMark__10959_283745954"/>
      <w:bookmarkStart w:id="93" w:name="__UnoMark__10678_283745954"/>
      <w:bookmarkStart w:id="94" w:name="__UnoMark__9582_283745954"/>
      <w:bookmarkStart w:id="95" w:name="__UnoMark__8761_283745954"/>
      <w:bookmarkStart w:id="96" w:name="__UnoMark__9408_435217427"/>
      <w:bookmarkStart w:id="97" w:name="__UnoMark__25329_497913431"/>
      <w:bookmarkStart w:id="98" w:name="__UnoMark__24468_497913431"/>
      <w:bookmarkStart w:id="99" w:name="__UnoMark__23752_497913431"/>
      <w:bookmarkStart w:id="100" w:name="__UnoMark__12883_1244819659"/>
      <w:bookmarkStart w:id="101" w:name="__UnoMark__3666_599023520"/>
      <w:bookmarkStart w:id="102" w:name="__UnoMark__4183_599023520"/>
      <w:bookmarkStart w:id="103" w:name="__UnoMark__5494_1492540610"/>
      <w:bookmarkStart w:id="104" w:name="__UnoMark__6079_1492540610"/>
      <w:bookmarkStart w:id="105" w:name="__UnoMark__8929_1492540610"/>
      <w:bookmarkStart w:id="106" w:name="__UnoMark__9525_1492540610"/>
      <w:bookmarkStart w:id="107" w:name="__UnoMark__10124_1492540610"/>
      <w:bookmarkStart w:id="108" w:name="__UnoMark__10758_1492540610"/>
      <w:bookmarkStart w:id="109" w:name="__UnoMark__11378_1492540610"/>
      <w:bookmarkStart w:id="110" w:name="__UnoMark__7903_497913431"/>
      <w:bookmarkStart w:id="111" w:name="__UnoMark__22289_497913431"/>
      <w:bookmarkStart w:id="112" w:name="__UnoMark__27265_836371768"/>
      <w:bookmarkStart w:id="113" w:name="__UnoMark__28410_836371768"/>
      <w:bookmarkStart w:id="114" w:name="__UnoMark__29584_836371768"/>
      <w:bookmarkStart w:id="115" w:name="__UnoMark__30745_836371768"/>
      <w:bookmarkStart w:id="116" w:name="__UnoMark__40735_2025191570"/>
      <w:bookmarkStart w:id="117" w:name="__UnoMark__41951_2025191570"/>
      <w:bookmarkStart w:id="118" w:name="__UnoMark__43202_2025191570"/>
      <w:bookmarkStart w:id="119" w:name="__UnoMark__44462_2025191570"/>
      <w:r>
        <w:rPr>
          <w:lang w:val="en-GB"/>
        </w:rPr>
        <w:t>(Normann, 2001)</w:t>
      </w:r>
      <w:bookmarkStart w:id="120" w:name="__UnoMark__4086_3482197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lang w:val="en-GB"/>
        </w:rPr>
        <w:t xml:space="preserve">.   </w:t>
      </w:r>
      <w:bookmarkStart w:id="121" w:name="__UnoMark__23521_140394355"/>
      <w:bookmarkStart w:id="122" w:name="__UnoMark__17300_140394355"/>
      <w:bookmarkStart w:id="123" w:name="__UnoMark__15914_140394355"/>
      <w:bookmarkStart w:id="124" w:name="__UnoMark__7399_41873585"/>
      <w:bookmarkStart w:id="125" w:name="__UnoMark__6921_41873585"/>
      <w:bookmarkStart w:id="126" w:name="__UnoMark__6323_41873585"/>
      <w:bookmarkStart w:id="127" w:name="__UnoMark__5830_41873585"/>
      <w:bookmarkStart w:id="128" w:name="__UnoMark__5317_41873585"/>
      <w:bookmarkStart w:id="129" w:name="__UnoMark__4828_41873585"/>
      <w:bookmarkStart w:id="130" w:name="ZOTERO_BREF_Y0fowA70YXxH"/>
      <w:bookmarkStart w:id="131" w:name="__UnoMark__3952_348219782"/>
      <w:bookmarkStart w:id="132" w:name="__UnoMark__4386_348219782"/>
      <w:bookmarkStart w:id="133" w:name="__UnoMark__12884_1244819659"/>
      <w:bookmarkStart w:id="134" w:name="__UnoMark__11823_722878254"/>
      <w:bookmarkStart w:id="135" w:name="__UnoMark__5753_1443136783"/>
      <w:bookmarkStart w:id="136" w:name="__UnoMark__12491_722878254"/>
      <w:bookmarkStart w:id="137" w:name="__UnoMark__13172_722878254"/>
      <w:bookmarkStart w:id="138" w:name="__UnoMark__7120_1586897740"/>
      <w:bookmarkStart w:id="139" w:name="__UnoMark__14926_1661744717"/>
      <w:bookmarkStart w:id="140" w:name="__UnoMark__15800_1661744717"/>
      <w:bookmarkStart w:id="141" w:name="__UnoMark__16674_1661744717"/>
      <w:bookmarkStart w:id="142" w:name="__UnoMark__17565_1661744717"/>
      <w:bookmarkStart w:id="143" w:name="__UnoMark__17885_1661744717"/>
      <w:bookmarkStart w:id="144" w:name="__UnoMark__12311_1244819659"/>
      <w:bookmarkStart w:id="145" w:name="__UnoMark__18461_1880123655"/>
      <w:bookmarkStart w:id="146" w:name="__UnoMark__17350_1880123655"/>
      <w:bookmarkStart w:id="147" w:name="__UnoMark__16303_1880123655"/>
      <w:bookmarkStart w:id="148" w:name="__UnoMark__10960_283745954"/>
      <w:bookmarkStart w:id="149" w:name="__UnoMark__10679_283745954"/>
      <w:bookmarkStart w:id="150" w:name="__UnoMark__9583_283745954"/>
      <w:bookmarkStart w:id="151" w:name="__UnoMark__8762_283745954"/>
      <w:bookmarkStart w:id="152" w:name="__UnoMark__9409_435217427"/>
      <w:bookmarkStart w:id="153" w:name="__UnoMark__25330_497913431"/>
      <w:bookmarkStart w:id="154" w:name="__UnoMark__24469_497913431"/>
      <w:bookmarkStart w:id="155" w:name="__UnoMark__23753_497913431"/>
      <w:bookmarkStart w:id="156" w:name="__UnoMark__23049_497913431"/>
      <w:bookmarkStart w:id="157" w:name="__UnoMark__12741_1244819659"/>
      <w:bookmarkStart w:id="158" w:name="__UnoMark__3667_599023520"/>
      <w:bookmarkStart w:id="159" w:name="__UnoMark__4184_599023520"/>
      <w:bookmarkStart w:id="160" w:name="__UnoMark__5495_1492540610"/>
      <w:bookmarkStart w:id="161" w:name="__UnoMark__6080_1492540610"/>
      <w:bookmarkStart w:id="162" w:name="__UnoMark__8930_1492540610"/>
      <w:bookmarkStart w:id="163" w:name="__UnoMark__9526_1492540610"/>
      <w:bookmarkStart w:id="164" w:name="__UnoMark__10125_1492540610"/>
      <w:bookmarkStart w:id="165" w:name="__UnoMark__10759_1492540610"/>
      <w:bookmarkStart w:id="166" w:name="__UnoMark__11379_1492540610"/>
      <w:bookmarkStart w:id="167" w:name="__UnoMark__7904_497913431"/>
      <w:bookmarkStart w:id="168" w:name="__UnoMark__22290_497913431"/>
      <w:bookmarkStart w:id="169" w:name="__UnoMark__27266_836371768"/>
      <w:bookmarkStart w:id="170" w:name="__UnoMark__28411_836371768"/>
      <w:bookmarkStart w:id="171" w:name="__UnoMark__29585_836371768"/>
      <w:bookmarkStart w:id="172" w:name="__UnoMark__30746_836371768"/>
      <w:bookmarkStart w:id="173" w:name="__UnoMark__40736_2025191570"/>
      <w:bookmarkStart w:id="174" w:name="__UnoMark__41952_2025191570"/>
      <w:bookmarkStart w:id="175" w:name="__UnoMark__43203_2025191570"/>
      <w:bookmarkStart w:id="176" w:name="__UnoMark__44463_202519157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lang w:val="en-GB"/>
        </w:rPr>
        <w:t>(Maglio &amp; Spohrer, 2008, p. 18)</w:t>
      </w:r>
    </w:p>
    <w:p>
      <w:pPr>
        <w:pStyle w:val="Normal"/>
        <w:rPr/>
      </w:pPr>
      <w:r>
        <w:rPr>
          <w:lang w:val="en-GB"/>
        </w:rPr>
        <w:t xml:space="preserve">Possibilities to reorient generative pattern language from environmental structure to service systems thinking have been explored in prior conferences </w:t>
      </w:r>
      <w:bookmarkStart w:id="177" w:name="__UnoMark__23522_140394355"/>
      <w:bookmarkStart w:id="178" w:name="__UnoMark__17301_140394355"/>
      <w:bookmarkStart w:id="179" w:name="__UnoMark__15915_140394355"/>
      <w:bookmarkStart w:id="180" w:name="__UnoMark__7400_41873585"/>
      <w:bookmarkStart w:id="181" w:name="__UnoMark__6922_41873585"/>
      <w:bookmarkStart w:id="182" w:name="__UnoMark__6324_41873585"/>
      <w:bookmarkStart w:id="183" w:name="__UnoMark__5831_41873585"/>
      <w:bookmarkStart w:id="184" w:name="__UnoMark__5318_41873585"/>
      <w:bookmarkStart w:id="185" w:name="__UnoMark__4829_41873585"/>
      <w:bookmarkStart w:id="186" w:name="__UnoMark__12308_1244819659"/>
      <w:bookmarkStart w:id="187" w:name="ZOTERO_BREF_YFJeCyDN0374"/>
      <w:bookmarkStart w:id="188" w:name="__UnoMark__12742_1244819659"/>
      <w:bookmarkStart w:id="189" w:name="__UnoMark__11824_722878254"/>
      <w:bookmarkStart w:id="190" w:name="__UnoMark__5754_1443136783"/>
      <w:bookmarkStart w:id="191" w:name="__UnoMark__12492_722878254"/>
      <w:bookmarkStart w:id="192" w:name="__UnoMark__13173_722878254"/>
      <w:bookmarkStart w:id="193" w:name="__UnoMark__7121_1586897740"/>
      <w:bookmarkStart w:id="194" w:name="__UnoMark__14927_1661744717"/>
      <w:bookmarkStart w:id="195" w:name="__UnoMark__15801_1661744717"/>
      <w:bookmarkStart w:id="196" w:name="__UnoMark__16675_1661744717"/>
      <w:bookmarkStart w:id="197" w:name="__UnoMark__17566_1661744717"/>
      <w:bookmarkStart w:id="198" w:name="__UnoMark__17886_1661744717"/>
      <w:bookmarkStart w:id="199" w:name="__UnoMark__3668_599023520"/>
      <w:bookmarkStart w:id="200" w:name="__UnoMark__12885_1244819659"/>
      <w:bookmarkStart w:id="201" w:name="__UnoMark__18462_1880123655"/>
      <w:bookmarkStart w:id="202" w:name="__UnoMark__17351_1880123655"/>
      <w:bookmarkStart w:id="203" w:name="__UnoMark__16304_1880123655"/>
      <w:bookmarkStart w:id="204" w:name="__UnoMark__10961_283745954"/>
      <w:bookmarkStart w:id="205" w:name="__UnoMark__10680_283745954"/>
      <w:bookmarkStart w:id="206" w:name="__UnoMark__9584_283745954"/>
      <w:bookmarkStart w:id="207" w:name="__UnoMark__8763_283745954"/>
      <w:bookmarkStart w:id="208" w:name="__UnoMark__9410_435217427"/>
      <w:bookmarkStart w:id="209" w:name="__UnoMark__25331_497913431"/>
      <w:bookmarkStart w:id="210" w:name="__UnoMark__24470_497913431"/>
      <w:bookmarkStart w:id="211" w:name="__UnoMark__23754_497913431"/>
      <w:bookmarkStart w:id="212" w:name="__UnoMark__23050_497913431"/>
      <w:bookmarkStart w:id="213" w:name="__UnoMark__22291_497913431"/>
      <w:bookmarkStart w:id="214" w:name="__UnoMark__7905_497913431"/>
      <w:bookmarkStart w:id="215" w:name="__UnoMark__11380_1492540610"/>
      <w:bookmarkStart w:id="216" w:name="__UnoMark__10760_1492540610"/>
      <w:bookmarkStart w:id="217" w:name="__UnoMark__10126_1492540610"/>
      <w:bookmarkStart w:id="218" w:name="__UnoMark__9527_1492540610"/>
      <w:bookmarkStart w:id="219" w:name="__UnoMark__8931_1492540610"/>
      <w:bookmarkStart w:id="220" w:name="__UnoMark__6081_1492540610"/>
      <w:bookmarkStart w:id="221" w:name="__UnoMark__5496_1492540610"/>
      <w:bookmarkStart w:id="222" w:name="__UnoMark__4185_599023520"/>
      <w:bookmarkStart w:id="223" w:name="__UnoMark__27267_836371768"/>
      <w:bookmarkStart w:id="224" w:name="__UnoMark__28412_836371768"/>
      <w:bookmarkStart w:id="225" w:name="__UnoMark__29586_836371768"/>
      <w:bookmarkStart w:id="226" w:name="__UnoMark__30747_836371768"/>
      <w:bookmarkStart w:id="227" w:name="__UnoMark__40737_2025191570"/>
      <w:bookmarkStart w:id="228" w:name="__UnoMark__41953_2025191570"/>
      <w:bookmarkStart w:id="229" w:name="__UnoMark__43204_2025191570"/>
      <w:bookmarkStart w:id="230" w:name="__UnoMark__44464_2025191570"/>
      <w:r>
        <w:rPr>
          <w:lang w:val="en-GB"/>
        </w:rPr>
        <w:t>(Ing, 2015)</w:t>
      </w:r>
      <w:bookmarkStart w:id="231" w:name="__UnoMark__12450_1244819659"/>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lang w:val="en-GB"/>
        </w:rPr>
        <w:t>.</w:t>
      </w:r>
    </w:p>
    <w:p>
      <w:pPr>
        <w:pStyle w:val="Normal"/>
        <w:rPr/>
      </w:pPr>
      <w:r>
        <w:rPr>
          <w:lang w:val="en-GB"/>
        </w:rPr>
        <w:t>In section 2, a documented project – the Hunts Point Multi-Service Center (MSC) of 1968 – is (i) reviewed with the original purpose of producing buildings, and then (ii) extended to suggest the way in which a service system perspective is different.  This straw man example is not extensively developed, and has instead been lightly sketched to ground critical discussion.  A mapping from the Alexandrian format to the proposed service systems thinking format is provided to sharpen the discussion.</w:t>
      </w:r>
    </w:p>
    <w:p>
      <w:pPr>
        <w:pStyle w:val="Normal"/>
        <w:rPr/>
      </w:pPr>
      <w:r>
        <w:rPr>
          <w:lang w:val="en-GB"/>
        </w:rPr>
        <w:t xml:space="preserve">In section 3, the methods of pattern language thinking shown in the Eishin campus project circa 1983-1985, which included the techniques published in </w:t>
      </w:r>
      <w:r>
        <w:rPr>
          <w:i/>
          <w:iCs/>
          <w:lang w:val="en-GB"/>
        </w:rPr>
        <w:t>The Nature of Order</w:t>
      </w:r>
      <w:r>
        <w:rPr>
          <w:lang w:val="en-GB"/>
        </w:rPr>
        <w:t>, are outlined.  The parallelism with methods associated with the Agile Manifesto of 2001 is outlined in the context of the rise of service systems and service science that rose after 2006.</w:t>
      </w:r>
    </w:p>
    <w:p>
      <w:pPr>
        <w:pStyle w:val="Normal"/>
        <w:rPr/>
      </w:pPr>
      <w:r>
        <w:rPr>
          <w:lang w:val="en-GB"/>
        </w:rPr>
        <w:t>In section 4, a critical assessment of using a pattern language approach for service systems thinking is presented.  Some features from the doxa are amplified; some reshapings  for  philosophical differences are suggested; and some reinterpretations of applications beyond Alexander’s team are challenged.</w:t>
      </w:r>
    </w:p>
    <w:p>
      <w:pPr>
        <w:pStyle w:val="Normal"/>
        <w:rPr/>
      </w:pPr>
      <w:r>
        <w:rPr>
          <w:lang w:val="en-GB"/>
        </w:rPr>
        <w:t>Section 5 closes the proposal with on ways in which pattern language knowledge is generated and legitimized within a community of practice, an exploration of modes of inquiry and enabling online technologies.</w:t>
      </w:r>
    </w:p>
    <w:p>
      <w:pPr>
        <w:pStyle w:val="Heading1"/>
        <w:numPr>
          <w:ilvl w:val="0"/>
          <w:numId w:val="2"/>
        </w:numPr>
        <w:ind w:left="0" w:hanging="0"/>
        <w:rPr/>
      </w:pPr>
      <w:r>
        <w:rPr>
          <w:lang w:val="en-GB"/>
        </w:rPr>
        <w:t>Extending an Alexandrian example to services illustrates differences</w:t>
      </w:r>
    </w:p>
    <w:p>
      <w:pPr>
        <w:pStyle w:val="Normal"/>
        <w:rPr/>
      </w:pPr>
      <w:r>
        <w:rPr>
          <w:lang w:val="en-US" w:eastAsia="ja-JP"/>
        </w:rPr>
        <w:t xml:space="preserve">In 1968, 64 patterns and "Eight buildings generated by the pattern language" were published.  While this work was shortly after the 1967 founding of the Center for Environmental Structure at Berkeley, it presents coherent work foreshadowing </w:t>
      </w:r>
      <w:r>
        <w:rPr>
          <w:i/>
          <w:iCs/>
          <w:lang w:val="en-US" w:eastAsia="ja-JP"/>
        </w:rPr>
        <w:t>A Pattern Language</w:t>
      </w:r>
      <w:r>
        <w:rPr>
          <w:lang w:val="en-US" w:eastAsia="ja-JP"/>
        </w:rPr>
        <w:t xml:space="preserve"> 9 years later, and </w:t>
      </w:r>
      <w:r>
        <w:rPr>
          <w:i/>
          <w:iCs/>
          <w:lang w:val="en-US" w:eastAsia="ja-JP"/>
        </w:rPr>
        <w:t>The Timeless Way of Building</w:t>
      </w:r>
      <w:r>
        <w:rPr>
          <w:lang w:val="en-US" w:eastAsia="ja-JP"/>
        </w:rPr>
        <w:t xml:space="preserve"> 11 years later.</w:t>
      </w:r>
    </w:p>
    <w:p>
      <w:pPr>
        <w:pStyle w:val="Heading2"/>
        <w:numPr>
          <w:ilvl w:val="1"/>
          <w:numId w:val="2"/>
        </w:numPr>
        <w:rPr/>
      </w:pPr>
      <w:r>
        <w:rPr>
          <w:lang w:val="en-GB"/>
        </w:rPr>
        <w:t>Alexandrian format follows context, system of forces, configuration</w:t>
      </w:r>
    </w:p>
    <w:p>
      <w:pPr>
        <w:pStyle w:val="Normal"/>
        <w:rPr/>
      </w:pPr>
      <w:r>
        <w:rPr>
          <w:lang w:val="en-GB"/>
        </w:rPr>
        <w:t>The presentation of a pattern as initially presented as two parts, with an additional breakdown:</w:t>
      </w:r>
    </w:p>
    <w:p>
      <w:pPr>
        <w:pStyle w:val="Quote"/>
        <w:rPr/>
      </w:pPr>
      <w:r>
        <w:rPr/>
        <w:t xml:space="preserve">… </w:t>
      </w:r>
      <w:r>
        <w:rPr/>
        <w:t>each pattern has two parts: the PATTERN statement itself, and a PROBLEM statement.  The PATTERN state is itself broken down into two further parts, an IF part and a THEN part.  In full, the statement of each pattern reads like this:</w:t>
      </w:r>
    </w:p>
    <w:p>
      <w:pPr>
        <w:pStyle w:val="Quote"/>
        <w:rPr/>
      </w:pPr>
      <w:r>
        <w:rPr/>
        <w:tab/>
        <w:t>IF:X  THEN:Z  /  PROBLEM:Y</w:t>
      </w:r>
    </w:p>
    <w:p>
      <w:pPr>
        <w:pStyle w:val="Quote"/>
        <w:rPr/>
      </w:pPr>
      <w:r>
        <w:rPr/>
        <w:t>X defines a set of conditions.  Y defines some problem which is always liable to to occur under conditions X.  Z defines some abstract spatial relation which needs to be present under the conditions X, in order to solve the problem Y.</w:t>
      </w:r>
    </w:p>
    <w:p>
      <w:pPr>
        <w:pStyle w:val="Quote"/>
        <w:rPr/>
      </w:pPr>
      <w:r>
        <w:rPr/>
        <w:t xml:space="preserve">In short, IF the conditions X occur, THEN we should do Z, in order to solve the PROBLEM Y </w:t>
      </w:r>
      <w:bookmarkStart w:id="232" w:name="__UnoMark__23523_140394355"/>
      <w:bookmarkStart w:id="233" w:name="__UnoMark__17302_140394355"/>
      <w:bookmarkStart w:id="234" w:name="__UnoMark__15916_140394355"/>
      <w:bookmarkStart w:id="235" w:name="__UnoMark__5319_41873585"/>
      <w:bookmarkStart w:id="236" w:name="__UnoMark__4830_41873585"/>
      <w:bookmarkStart w:id="237" w:name="__UnoMark__3469_1689624541"/>
      <w:bookmarkStart w:id="238" w:name="__UnoMark__3122_1689624541"/>
      <w:bookmarkStart w:id="239" w:name="__UnoMark__2525_2050315779"/>
      <w:bookmarkStart w:id="240" w:name="__UnoMark__3802_1205087773"/>
      <w:bookmarkStart w:id="241" w:name="ZOTERO_BREF_5W4rJb2oKRHe"/>
      <w:bookmarkStart w:id="242" w:name="__UnoMark__3619_1205087773"/>
      <w:bookmarkStart w:id="243" w:name="__UnoMark__4955_2060183323"/>
      <w:bookmarkStart w:id="244" w:name="__UnoMark__5121_2060183323"/>
      <w:bookmarkStart w:id="245" w:name="__UnoMark__5273_2060183323"/>
      <w:bookmarkStart w:id="246" w:name="__UnoMark__5439_2060183323"/>
      <w:bookmarkStart w:id="247" w:name="__UnoMark__5647_2060183323"/>
      <w:bookmarkStart w:id="248" w:name="__UnoMark__5827_2060183323"/>
      <w:bookmarkStart w:id="249" w:name="__UnoMark__6325_41873585"/>
      <w:bookmarkStart w:id="250" w:name="__UnoMark__5832_41873585"/>
      <w:bookmarkStart w:id="251" w:name="__UnoMark__5254_60934169"/>
      <w:bookmarkStart w:id="252" w:name="__UnoMark__17887_1661744717"/>
      <w:bookmarkStart w:id="253" w:name="__UnoMark__17567_1661744717"/>
      <w:bookmarkStart w:id="254" w:name="__UnoMark__16676_1661744717"/>
      <w:bookmarkStart w:id="255" w:name="__UnoMark__6056_2060183323"/>
      <w:bookmarkStart w:id="256" w:name="__UnoMark__14928_1661744717"/>
      <w:bookmarkStart w:id="257" w:name="__UnoMark__7122_1586897740"/>
      <w:bookmarkStart w:id="258" w:name="__UnoMark__13174_722878254"/>
      <w:bookmarkStart w:id="259" w:name="__UnoMark__12493_722878254"/>
      <w:bookmarkStart w:id="260" w:name="__UnoMark__11825_722878254"/>
      <w:bookmarkStart w:id="261" w:name="__UnoMark__5755_1443136783"/>
      <w:bookmarkStart w:id="262" w:name="__UnoMark__7401_41873585"/>
      <w:bookmarkStart w:id="263" w:name="__UnoMark__6923_41873585"/>
      <w:bookmarkStart w:id="264" w:name="__UnoMark__15802_1661744717"/>
      <w:bookmarkStart w:id="265" w:name="__UnoMark__10761_1492540610"/>
      <w:bookmarkStart w:id="266" w:name="__UnoMark__11381_1492540610"/>
      <w:bookmarkStart w:id="267" w:name="__UnoMark__7906_497913431"/>
      <w:bookmarkStart w:id="268" w:name="__UnoMark__22292_497913431"/>
      <w:bookmarkStart w:id="269" w:name="__UnoMark__23051_497913431"/>
      <w:bookmarkStart w:id="270" w:name="__UnoMark__23755_497913431"/>
      <w:bookmarkStart w:id="271" w:name="__UnoMark__24471_497913431"/>
      <w:bookmarkStart w:id="272" w:name="__UnoMark__10127_1492540610"/>
      <w:bookmarkStart w:id="273" w:name="__UnoMark__9411_435217427"/>
      <w:bookmarkStart w:id="274" w:name="__UnoMark__8764_283745954"/>
      <w:bookmarkStart w:id="275" w:name="__UnoMark__9585_283745954"/>
      <w:bookmarkStart w:id="276" w:name="__UnoMark__10681_283745954"/>
      <w:bookmarkStart w:id="277" w:name="__UnoMark__10962_283745954"/>
      <w:bookmarkStart w:id="278" w:name="__UnoMark__16305_1880123655"/>
      <w:bookmarkStart w:id="279" w:name="__UnoMark__17352_1880123655"/>
      <w:bookmarkStart w:id="280" w:name="__UnoMark__18463_1880123655"/>
      <w:bookmarkStart w:id="281" w:name="__UnoMark__25332_497913431"/>
      <w:bookmarkStart w:id="282" w:name="__UnoMark__3953_348219782"/>
      <w:bookmarkStart w:id="283" w:name="__UnoMark__5808_60934169"/>
      <w:bookmarkStart w:id="284" w:name="__UnoMark__6143_60934169"/>
      <w:bookmarkStart w:id="285" w:name="__UnoMark__6471_60934169"/>
      <w:bookmarkStart w:id="286" w:name="__UnoMark__6785_60934169"/>
      <w:bookmarkStart w:id="287" w:name="__UnoMark__5542_60934169"/>
      <w:bookmarkStart w:id="288" w:name="__UnoMark__4387_348219782"/>
      <w:bookmarkStart w:id="289" w:name="__UnoMark__12312_1244819659"/>
      <w:bookmarkStart w:id="290" w:name="__UnoMark__12743_1244819659"/>
      <w:bookmarkStart w:id="291" w:name="__UnoMark__12886_1244819659"/>
      <w:bookmarkStart w:id="292" w:name="__UnoMark__3669_599023520"/>
      <w:bookmarkStart w:id="293" w:name="__UnoMark__4186_599023520"/>
      <w:bookmarkStart w:id="294" w:name="__UnoMark__5497_1492540610"/>
      <w:bookmarkStart w:id="295" w:name="__UnoMark__6082_1492540610"/>
      <w:bookmarkStart w:id="296" w:name="__UnoMark__8932_1492540610"/>
      <w:bookmarkStart w:id="297" w:name="__UnoMark__9528_1492540610"/>
      <w:bookmarkStart w:id="298" w:name="__UnoMark__27268_836371768"/>
      <w:bookmarkStart w:id="299" w:name="__UnoMark__28413_836371768"/>
      <w:bookmarkStart w:id="300" w:name="__UnoMark__29587_836371768"/>
      <w:bookmarkStart w:id="301" w:name="__UnoMark__30748_836371768"/>
      <w:bookmarkStart w:id="302" w:name="__UnoMark__40738_2025191570"/>
      <w:bookmarkStart w:id="303" w:name="__UnoMark__41954_2025191570"/>
      <w:bookmarkStart w:id="304" w:name="__UnoMark__43205_2025191570"/>
      <w:bookmarkStart w:id="305" w:name="__UnoMark__44465_2025191570"/>
      <w:r>
        <w:rPr/>
        <w:t>(Alexander, Ishikawa, &amp; Silverstein, 1968, p. 15)</w:t>
      </w:r>
      <w:bookmarkStart w:id="306" w:name="__UnoMark__3653_1205087773"/>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t>.</w:t>
      </w:r>
    </w:p>
    <w:p>
      <w:pPr>
        <w:pStyle w:val="TextBody"/>
        <w:rPr/>
      </w:pPr>
      <w:r>
        <w:rPr/>
        <w:t xml:space="preserve">This definition takes a highly prescriptive stance.  The 64 publlished patterns were to be used to define a prototype building, and were expected to be criticized and improved. </w:t>
      </w:r>
    </w:p>
    <w:p>
      <w:pPr>
        <w:pStyle w:val="TextBody"/>
        <w:rPr/>
      </w:pPr>
      <w:r>
        <w:rPr/>
        <w:t xml:space="preserve">The definition of a pattern was refined by 1979, with a description of the most concise version for “the structure of single pattern” </w:t>
      </w:r>
      <w:bookmarkStart w:id="307" w:name="__UnoMark__23524_140394355"/>
      <w:bookmarkStart w:id="308" w:name="__UnoMark__17303_140394355"/>
      <w:bookmarkStart w:id="309" w:name="__UnoMark__15917_140394355"/>
      <w:bookmarkStart w:id="310" w:name="ZOTERO_BREF_eG7GFeK4yXDw"/>
      <w:bookmarkStart w:id="311" w:name="__UnoMark__3470_1689624541"/>
      <w:bookmarkStart w:id="312" w:name="__UnoMark__3123_1689624541"/>
      <w:bookmarkStart w:id="313" w:name="__UnoMark__2526_2050315779"/>
      <w:bookmarkStart w:id="314" w:name="__UnoMark__3803_1205087773"/>
      <w:bookmarkStart w:id="315" w:name="__UnoMark__3620_1205087773"/>
      <w:bookmarkStart w:id="316" w:name="__UnoMark__4060_2127539303"/>
      <w:bookmarkStart w:id="317" w:name="__UnoMark__3985_2127539303"/>
      <w:bookmarkStart w:id="318" w:name="__UnoMark__4956_2060183323"/>
      <w:bookmarkStart w:id="319" w:name="__UnoMark__5122_2060183323"/>
      <w:bookmarkStart w:id="320" w:name="__UnoMark__5274_2060183323"/>
      <w:bookmarkStart w:id="321" w:name="__UnoMark__5440_2060183323"/>
      <w:bookmarkStart w:id="322" w:name="__UnoMark__5648_2060183323"/>
      <w:bookmarkStart w:id="323" w:name="__UnoMark__5828_2060183323"/>
      <w:bookmarkStart w:id="324" w:name="__UnoMark__5320_41873585"/>
      <w:bookmarkStart w:id="325" w:name="__UnoMark__4831_41873585"/>
      <w:bookmarkStart w:id="326" w:name="__UnoMark__5255_60934169"/>
      <w:bookmarkStart w:id="327" w:name="__UnoMark__17888_1661744717"/>
      <w:bookmarkStart w:id="328" w:name="__UnoMark__17568_1661744717"/>
      <w:bookmarkStart w:id="329" w:name="__UnoMark__16677_1661744717"/>
      <w:bookmarkStart w:id="330" w:name="__UnoMark__15803_1661744717"/>
      <w:bookmarkStart w:id="331" w:name="__UnoMark__14929_1661744717"/>
      <w:bookmarkStart w:id="332" w:name="__UnoMark__6057_2060183323"/>
      <w:bookmarkStart w:id="333" w:name="__UnoMark__13175_722878254"/>
      <w:bookmarkStart w:id="334" w:name="__UnoMark__12494_722878254"/>
      <w:bookmarkStart w:id="335" w:name="__UnoMark__11826_722878254"/>
      <w:bookmarkStart w:id="336" w:name="__UnoMark__7402_41873585"/>
      <w:bookmarkStart w:id="337" w:name="__UnoMark__6924_41873585"/>
      <w:bookmarkStart w:id="338" w:name="__UnoMark__6326_41873585"/>
      <w:bookmarkStart w:id="339" w:name="__UnoMark__5833_41873585"/>
      <w:bookmarkStart w:id="340" w:name="__UnoMark__7123_1586897740"/>
      <w:bookmarkStart w:id="341" w:name="__UnoMark__11382_1492540610"/>
      <w:bookmarkStart w:id="342" w:name="__UnoMark__7907_497913431"/>
      <w:bookmarkStart w:id="343" w:name="__UnoMark__22293_497913431"/>
      <w:bookmarkStart w:id="344" w:name="__UnoMark__23052_497913431"/>
      <w:bookmarkStart w:id="345" w:name="__UnoMark__23756_497913431"/>
      <w:bookmarkStart w:id="346" w:name="__UnoMark__24472_497913431"/>
      <w:bookmarkStart w:id="347" w:name="__UnoMark__25333_497913431"/>
      <w:bookmarkStart w:id="348" w:name="__UnoMark__10762_1492540610"/>
      <w:bookmarkStart w:id="349" w:name="__UnoMark__8765_283745954"/>
      <w:bookmarkStart w:id="350" w:name="__UnoMark__9586_283745954"/>
      <w:bookmarkStart w:id="351" w:name="__UnoMark__10682_283745954"/>
      <w:bookmarkStart w:id="352" w:name="__UnoMark__10963_283745954"/>
      <w:bookmarkStart w:id="353" w:name="__UnoMark__16306_1880123655"/>
      <w:bookmarkStart w:id="354" w:name="__UnoMark__17353_1880123655"/>
      <w:bookmarkStart w:id="355" w:name="__UnoMark__18464_1880123655"/>
      <w:bookmarkStart w:id="356" w:name="__UnoMark__5756_1443136783"/>
      <w:bookmarkStart w:id="357" w:name="__UnoMark__9412_435217427"/>
      <w:bookmarkStart w:id="358" w:name="__UnoMark__5543_60934169"/>
      <w:bookmarkStart w:id="359" w:name="__UnoMark__5809_60934169"/>
      <w:bookmarkStart w:id="360" w:name="__UnoMark__6144_60934169"/>
      <w:bookmarkStart w:id="361" w:name="__UnoMark__6472_60934169"/>
      <w:bookmarkStart w:id="362" w:name="__UnoMark__6786_60934169"/>
      <w:bookmarkStart w:id="363" w:name="__UnoMark__3954_348219782"/>
      <w:bookmarkStart w:id="364" w:name="__UnoMark__4388_348219782"/>
      <w:bookmarkStart w:id="365" w:name="__UnoMark__12313_1244819659"/>
      <w:bookmarkStart w:id="366" w:name="__UnoMark__12744_1244819659"/>
      <w:bookmarkStart w:id="367" w:name="__UnoMark__12887_1244819659"/>
      <w:bookmarkStart w:id="368" w:name="__UnoMark__3670_599023520"/>
      <w:bookmarkStart w:id="369" w:name="__UnoMark__4187_599023520"/>
      <w:bookmarkStart w:id="370" w:name="__UnoMark__5498_1492540610"/>
      <w:bookmarkStart w:id="371" w:name="__UnoMark__6083_1492540610"/>
      <w:bookmarkStart w:id="372" w:name="__UnoMark__8933_1492540610"/>
      <w:bookmarkStart w:id="373" w:name="__UnoMark__9529_1492540610"/>
      <w:bookmarkStart w:id="374" w:name="__UnoMark__10128_1492540610"/>
      <w:bookmarkStart w:id="375" w:name="__UnoMark__27269_836371768"/>
      <w:bookmarkStart w:id="376" w:name="__UnoMark__28414_836371768"/>
      <w:bookmarkStart w:id="377" w:name="__UnoMark__29588_836371768"/>
      <w:bookmarkStart w:id="378" w:name="__UnoMark__30749_836371768"/>
      <w:bookmarkStart w:id="379" w:name="__UnoMark__40739_2025191570"/>
      <w:bookmarkStart w:id="380" w:name="__UnoMark__41955_2025191570"/>
      <w:bookmarkStart w:id="381" w:name="__UnoMark__43206_2025191570"/>
      <w:bookmarkStart w:id="382" w:name="__UnoMark__44466_2025191570"/>
      <w:r>
        <w:rPr/>
        <w:t>a</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Pr/>
        <w:t>s:</w:t>
      </w:r>
    </w:p>
    <w:p>
      <w:pPr>
        <w:pStyle w:val="Quote"/>
        <w:rPr/>
      </w:pPr>
      <w:r>
        <w:rPr/>
        <w:t xml:space="preserve">Each pattern is a three-part rule, which expresses a relation between a certain context, a problem, and a solution </w:t>
      </w:r>
      <w:bookmarkStart w:id="383" w:name="__UnoMark__23525_140394355"/>
      <w:bookmarkStart w:id="384" w:name="__UnoMark__17304_140394355"/>
      <w:bookmarkStart w:id="385" w:name="__UnoMark__15918_140394355"/>
      <w:bookmarkStart w:id="386" w:name="__UnoMark__5834_41873585"/>
      <w:bookmarkStart w:id="387" w:name="__UnoMark__4832_41873585"/>
      <w:bookmarkStart w:id="388" w:name="__UnoMark__3471_1689624541"/>
      <w:bookmarkStart w:id="389" w:name="__UnoMark__3124_1689624541"/>
      <w:bookmarkStart w:id="390" w:name="__UnoMark__2527_2050315779"/>
      <w:bookmarkStart w:id="391" w:name="__UnoMark__3804_1205087773"/>
      <w:bookmarkStart w:id="392" w:name="__UnoMark__3621_1205087773"/>
      <w:bookmarkStart w:id="393" w:name="ZOTERO_BREF_WAdnXxszbtBK"/>
      <w:bookmarkStart w:id="394" w:name="__UnoMark__4957_2060183323"/>
      <w:bookmarkStart w:id="395" w:name="__UnoMark__5123_2060183323"/>
      <w:bookmarkStart w:id="396" w:name="__UnoMark__5275_2060183323"/>
      <w:bookmarkStart w:id="397" w:name="__UnoMark__5441_2060183323"/>
      <w:bookmarkStart w:id="398" w:name="__UnoMark__5649_2060183323"/>
      <w:bookmarkStart w:id="399" w:name="__UnoMark__5829_2060183323"/>
      <w:bookmarkStart w:id="400" w:name="__UnoMark__6058_2060183323"/>
      <w:bookmarkStart w:id="401" w:name="__UnoMark__5321_41873585"/>
      <w:bookmarkStart w:id="402" w:name="__UnoMark__5544_60934169"/>
      <w:bookmarkStart w:id="403" w:name="__UnoMark__17889_1661744717"/>
      <w:bookmarkStart w:id="404" w:name="__UnoMark__17569_1661744717"/>
      <w:bookmarkStart w:id="405" w:name="__UnoMark__16678_1661744717"/>
      <w:bookmarkStart w:id="406" w:name="__UnoMark__7403_41873585"/>
      <w:bookmarkStart w:id="407" w:name="__UnoMark__14930_1661744717"/>
      <w:bookmarkStart w:id="408" w:name="__UnoMark__7124_1586897740"/>
      <w:bookmarkStart w:id="409" w:name="__UnoMark__13176_722878254"/>
      <w:bookmarkStart w:id="410" w:name="__UnoMark__12495_722878254"/>
      <w:bookmarkStart w:id="411" w:name="__UnoMark__11827_722878254"/>
      <w:bookmarkStart w:id="412" w:name="__UnoMark__5757_1443136783"/>
      <w:bookmarkStart w:id="413" w:name="__UnoMark__6925_41873585"/>
      <w:bookmarkStart w:id="414" w:name="__UnoMark__6327_41873585"/>
      <w:bookmarkStart w:id="415" w:name="__UnoMark__15804_1661744717"/>
      <w:bookmarkStart w:id="416" w:name="__UnoMark__11383_1492540610"/>
      <w:bookmarkStart w:id="417" w:name="__UnoMark__7908_497913431"/>
      <w:bookmarkStart w:id="418" w:name="__UnoMark__22294_497913431"/>
      <w:bookmarkStart w:id="419" w:name="__UnoMark__23053_497913431"/>
      <w:bookmarkStart w:id="420" w:name="__UnoMark__23757_497913431"/>
      <w:bookmarkStart w:id="421" w:name="__UnoMark__24473_497913431"/>
      <w:bookmarkStart w:id="422" w:name="__UnoMark__25334_497913431"/>
      <w:bookmarkStart w:id="423" w:name="__UnoMark__10763_1492540610"/>
      <w:bookmarkStart w:id="424" w:name="__UnoMark__8766_283745954"/>
      <w:bookmarkStart w:id="425" w:name="__UnoMark__9587_283745954"/>
      <w:bookmarkStart w:id="426" w:name="__UnoMark__10683_283745954"/>
      <w:bookmarkStart w:id="427" w:name="__UnoMark__10964_283745954"/>
      <w:bookmarkStart w:id="428" w:name="__UnoMark__16307_1880123655"/>
      <w:bookmarkStart w:id="429" w:name="__UnoMark__17354_1880123655"/>
      <w:bookmarkStart w:id="430" w:name="__UnoMark__18465_1880123655"/>
      <w:bookmarkStart w:id="431" w:name="__UnoMark__5256_60934169"/>
      <w:bookmarkStart w:id="432" w:name="__UnoMark__9413_435217427"/>
      <w:bookmarkStart w:id="433" w:name="__UnoMark__5810_60934169"/>
      <w:bookmarkStart w:id="434" w:name="__UnoMark__6145_60934169"/>
      <w:bookmarkStart w:id="435" w:name="__UnoMark__6473_60934169"/>
      <w:bookmarkStart w:id="436" w:name="__UnoMark__6787_60934169"/>
      <w:bookmarkStart w:id="437" w:name="__UnoMark__3955_348219782"/>
      <w:bookmarkStart w:id="438" w:name="__UnoMark__4389_348219782"/>
      <w:bookmarkStart w:id="439" w:name="__UnoMark__12314_1244819659"/>
      <w:bookmarkStart w:id="440" w:name="__UnoMark__12745_1244819659"/>
      <w:bookmarkStart w:id="441" w:name="__UnoMark__12888_1244819659"/>
      <w:bookmarkStart w:id="442" w:name="__UnoMark__3671_599023520"/>
      <w:bookmarkStart w:id="443" w:name="__UnoMark__4188_599023520"/>
      <w:bookmarkStart w:id="444" w:name="__UnoMark__5499_1492540610"/>
      <w:bookmarkStart w:id="445" w:name="__UnoMark__6084_1492540610"/>
      <w:bookmarkStart w:id="446" w:name="__UnoMark__8934_1492540610"/>
      <w:bookmarkStart w:id="447" w:name="__UnoMark__9530_1492540610"/>
      <w:bookmarkStart w:id="448" w:name="__UnoMark__10129_1492540610"/>
      <w:bookmarkStart w:id="449" w:name="__UnoMark__27270_836371768"/>
      <w:bookmarkStart w:id="450" w:name="__UnoMark__28415_836371768"/>
      <w:bookmarkStart w:id="451" w:name="__UnoMark__29589_836371768"/>
      <w:bookmarkStart w:id="452" w:name="__UnoMark__30750_836371768"/>
      <w:bookmarkStart w:id="453" w:name="__UnoMark__40740_2025191570"/>
      <w:bookmarkStart w:id="454" w:name="__UnoMark__41956_2025191570"/>
      <w:bookmarkStart w:id="455" w:name="__UnoMark__43207_2025191570"/>
      <w:bookmarkStart w:id="456" w:name="__UnoMark__44467_2025191570"/>
      <w:r>
        <w:rPr/>
        <w:t>(Alexander, 1979, p. 247)</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t>.</w:t>
      </w:r>
    </w:p>
    <w:p>
      <w:pPr>
        <w:pStyle w:val="TextBody"/>
        <w:rPr/>
      </w:pPr>
      <w:r>
        <w:rPr/>
        <w:t>While this minimal description is similar to that in 1968, a fuller expansion appears a few pages later.</w:t>
      </w:r>
    </w:p>
    <w:p>
      <w:pPr>
        <w:pStyle w:val="Quote"/>
        <w:rPr/>
      </w:pPr>
      <w:r>
        <w:rPr/>
        <w:t>We see, in summary, that every pattern we define must be formulated in the form of a rule which establishes a relationship between a context, a system of forces which arises in that context, and a configuration which allows those forces to resolve themselves in that context.</w:t>
      </w:r>
    </w:p>
    <w:p>
      <w:pPr>
        <w:pStyle w:val="Quote"/>
        <w:rPr>
          <w:rFonts w:ascii="Arial" w:hAnsi="Arial"/>
        </w:rPr>
      </w:pPr>
      <w:r>
        <w:rPr/>
        <w:t>It has the following generic form:</w:t>
      </w:r>
    </w:p>
    <w:p>
      <w:pPr>
        <w:pStyle w:val="Quote"/>
        <w:rPr/>
      </w:pPr>
      <w:r>
        <w:rPr>
          <w:lang w:val="en-GB"/>
        </w:rPr>
        <w:tab/>
        <w:t xml:space="preserve">Context </w:t>
      </w:r>
      <w:r>
        <w:rPr>
          <w:rFonts w:eastAsia="Liberation Serif" w:cs="Liberation Serif"/>
          <w:lang w:val="en-GB"/>
        </w:rPr>
        <w:t xml:space="preserve">→ System of forces → Configuration (Alexander 1979, 253) </w:t>
      </w:r>
    </w:p>
    <w:p>
      <w:pPr>
        <w:pStyle w:val="Quote"/>
        <w:rPr/>
      </w:pPr>
      <w:r>
        <w:rPr>
          <w:rFonts w:eastAsia="Liberation Serif" w:cs="Liberation Serif"/>
          <w:i w:val="false"/>
          <w:iCs w:val="false"/>
          <w:u w:val="none"/>
          <w:lang w:val="en-GB"/>
        </w:rPr>
        <w:t>The Multi-Service Center patterns each ranged in length from 2 pages to 10 pages.  Synthesizing across the 1968 and 1979 definitions, three sample patterns are excerpted in Table 1.  This tabular form aims to give more structure to the more free-flowing text written by Alexander’s team</w:t>
      </w:r>
    </w:p>
    <w:p>
      <w:pPr>
        <w:pStyle w:val="Caption1"/>
        <w:rPr/>
      </w:pPr>
      <w:r>
        <w:rPr/>
        <w:t xml:space="preserve">Table </w:t>
      </w:r>
      <w:r>
        <w:rPr/>
        <w:fldChar w:fldCharType="begin"/>
      </w:r>
      <w:r>
        <w:instrText> SEQ Table \* ARABIC </w:instrText>
      </w:r>
      <w:r>
        <w:fldChar w:fldCharType="separate"/>
      </w:r>
      <w:r>
        <w:t>1</w:t>
      </w:r>
      <w:r>
        <w:fldChar w:fldCharType="end"/>
      </w:r>
      <w:r>
        <w:rPr/>
        <w:t>: Excerpts from three sample patterns for Multi-Service Centers</w:t>
      </w:r>
    </w:p>
    <w:tbl>
      <w:tblPr>
        <w:tblW w:w="9071" w:type="dxa"/>
        <w:jc w:val="left"/>
        <w:tblInd w:w="-2" w:type="dxa"/>
        <w:tblBorders>
          <w:left w:val="single" w:sz="2" w:space="0" w:color="B3B3B3"/>
          <w:bottom w:val="single" w:sz="2" w:space="0" w:color="B3B3B3"/>
          <w:insideH w:val="single" w:sz="2" w:space="0" w:color="B3B3B3"/>
        </w:tblBorders>
        <w:tblCellMar>
          <w:top w:w="0" w:type="dxa"/>
          <w:left w:w="-2" w:type="dxa"/>
          <w:bottom w:w="0" w:type="dxa"/>
          <w:right w:w="0" w:type="dxa"/>
        </w:tblCellMar>
      </w:tblPr>
      <w:tblGrid>
        <w:gridCol w:w="1922"/>
        <w:gridCol w:w="2550"/>
        <w:gridCol w:w="2331"/>
        <w:gridCol w:w="2267"/>
      </w:tblGrid>
      <w:tr>
        <w:trPr>
          <w:cantSplit w:val="true"/>
        </w:trPr>
        <w:tc>
          <w:tcPr>
            <w:tcW w:w="1922" w:type="dxa"/>
            <w:tcBorders>
              <w:left w:val="single" w:sz="2" w:space="0" w:color="B3B3B3"/>
              <w:bottom w:val="single" w:sz="2" w:space="0" w:color="B3B3B3"/>
              <w:insideH w:val="single" w:sz="2" w:space="0" w:color="B3B3B3"/>
            </w:tcBorders>
            <w:shd w:fill="auto" w:val="clear"/>
            <w:tcMar>
              <w:left w:w="-2" w:type="dxa"/>
            </w:tcMar>
          </w:tcPr>
          <w:p>
            <w:pPr>
              <w:pStyle w:val="TableContents"/>
              <w:jc w:val="left"/>
              <w:rPr/>
            </w:pPr>
            <w:r>
              <w:rPr/>
              <w:t>(i) Pattern name (plus headline)</w:t>
            </w:r>
          </w:p>
        </w:tc>
        <w:tc>
          <w:tcPr>
            <w:tcW w:w="2550" w:type="dxa"/>
            <w:tcBorders>
              <w:left w:val="single" w:sz="2" w:space="0" w:color="B3B3B3"/>
              <w:bottom w:val="single" w:sz="2" w:space="0" w:color="B3B3B3"/>
              <w:insideH w:val="single" w:sz="2" w:space="0" w:color="B3B3B3"/>
            </w:tcBorders>
            <w:shd w:fill="auto" w:val="clear"/>
            <w:tcMar>
              <w:left w:w="-2" w:type="dxa"/>
            </w:tcMar>
          </w:tcPr>
          <w:p>
            <w:pPr>
              <w:pStyle w:val="TableContents"/>
              <w:jc w:val="left"/>
              <w:rPr/>
            </w:pPr>
            <w:r>
              <w:rPr/>
              <w:t>21. Self-service</w:t>
            </w:r>
          </w:p>
          <w:p>
            <w:pPr>
              <w:pStyle w:val="TableContents"/>
              <w:jc w:val="left"/>
              <w:rPr/>
            </w:pPr>
            <w:r>
              <w:rPr>
                <w:b/>
                <w:bCs/>
              </w:rPr>
              <w:t>The waiting area contains a self-service facility, where job listing, welfare rights information and other do-it-yourself services are open, without restriction, to the public.</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28. The intake position</w:t>
            </w:r>
          </w:p>
          <w:p>
            <w:pPr>
              <w:pStyle w:val="TableContents"/>
              <w:jc w:val="left"/>
              <w:rPr/>
            </w:pPr>
            <w:r>
              <w:rPr>
                <w:b/>
                <w:bCs/>
              </w:rPr>
              <w:t>Intake procedures are informally handled by field workers, in a lounge setting, near the major entrance.</w:t>
            </w:r>
          </w:p>
        </w:tc>
        <w:tc>
          <w:tcPr>
            <w:tcW w:w="2267" w:type="dxa"/>
            <w:tcBorders>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32. Child-care position</w:t>
            </w:r>
          </w:p>
          <w:p>
            <w:pPr>
              <w:pStyle w:val="Normal"/>
              <w:spacing w:before="0" w:after="200"/>
              <w:jc w:val="left"/>
              <w:rPr/>
            </w:pPr>
            <w:r>
              <w:rPr>
                <w:b/>
                <w:bCs/>
              </w:rPr>
              <w:t>The child care station is visible along the path from the entrance to the services.</w:t>
            </w:r>
          </w:p>
        </w:tc>
      </w:tr>
      <w:tr>
        <w:trPr>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(ii) Completions of larger patterns</w:t>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14. Free waiting</w:t>
            </w:r>
          </w:p>
          <w:p>
            <w:pPr>
              <w:pStyle w:val="TableContents"/>
              <w:jc w:val="left"/>
              <w:rPr/>
            </w:pPr>
            <w:r>
              <w:rPr/>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7. Entrance locations</w:t>
            </w:r>
          </w:p>
          <w:p>
            <w:pPr>
              <w:pStyle w:val="TableContents"/>
              <w:jc w:val="left"/>
              <w:rPr/>
            </w:pPr>
            <w:r>
              <w:rPr/>
              <w:t>10. Open to street</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7. Entrance locations</w:t>
            </w:r>
          </w:p>
          <w:p>
            <w:pPr>
              <w:pStyle w:val="TableContents"/>
              <w:jc w:val="left"/>
              <w:rPr/>
            </w:pPr>
            <w:r>
              <w:rPr/>
              <w:t>10. Open to street</w:t>
            </w:r>
          </w:p>
        </w:tc>
      </w:tr>
      <w:tr>
        <w:trPr>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r>
      <w:tr>
        <w:trPr>
          <w:trHeight w:val="1767" w:hRule="atLeast"/>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(iii) Range of contexts</w:t>
              <w:br/>
              <w:t>(physical feature, set of conditions)</w:t>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val="false"/>
                <w:b w:val="false"/>
                <w:bCs w:val="false"/>
              </w:rPr>
            </w:pPr>
            <w:r>
              <w:rPr>
                <w:b w:val="false"/>
                <w:bCs w:val="false"/>
              </w:rPr>
              <w:t>Any multi-service center.</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val="false"/>
                <w:b w:val="false"/>
                <w:bCs w:val="false"/>
              </w:rPr>
            </w:pPr>
            <w:r>
              <w:rPr>
                <w:b w:val="false"/>
                <w:bCs w:val="false"/>
              </w:rPr>
              <w:t>A multi-service center with field workers (block workers, contact workers, community organisers, etc.)</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Normal"/>
              <w:spacing w:before="0" w:after="200"/>
              <w:jc w:val="left"/>
              <w:rPr>
                <w:b w:val="false"/>
                <w:b w:val="false"/>
                <w:bCs w:val="false"/>
              </w:rPr>
            </w:pPr>
            <w:r>
              <w:rPr>
                <w:b w:val="false"/>
                <w:bCs w:val="false"/>
              </w:rPr>
              <w:t>A child care station in any building where mothers have prolonged business (multi-service center, supermarket, etc.)</w:t>
            </w:r>
          </w:p>
        </w:tc>
      </w:tr>
      <w:tr>
        <w:trPr>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(iv) Problem to be solved</w:t>
            </w:r>
          </w:p>
          <w:p>
            <w:pPr>
              <w:pStyle w:val="TableContents"/>
              <w:jc w:val="left"/>
              <w:rPr/>
            </w:pPr>
            <w:r>
              <w:rPr/>
              <w:t>(system of forces that arises)</w:t>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Most service programs today effectively perpetuate the structural assymmetry of the dole …. If service programs ever hope to break the chain of poverty, this structural assymmetry … must be destoyed ….</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Many existing centers create the feeling that people coming to the center are being processed, like cattle, by receptionists and intake workers.</w:t>
            </w:r>
          </w:p>
          <w:p>
            <w:pPr>
              <w:pStyle w:val="TableContents"/>
              <w:jc w:val="left"/>
              <w:rPr/>
            </w:pPr>
            <w:r>
              <w:rPr/>
              <w:t xml:space="preserve">… </w:t>
            </w:r>
            <w:r>
              <w:rPr/>
              <w:t>the "intake function" will be handled on an informal basis by community organisers and contact workers ...</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When small children are left off at care centers they are often extremely anxious; they feel deserted …</w:t>
            </w:r>
          </w:p>
          <w:p>
            <w:pPr>
              <w:pStyle w:val="TableContents"/>
              <w:jc w:val="left"/>
              <w:rPr/>
            </w:pPr>
            <w:r>
              <w:rPr/>
              <w:t xml:space="preserve">… </w:t>
            </w:r>
            <w:r>
              <w:rPr/>
              <w:t>create circumstances under which the child decides, of his own accord, that wants to play in the center.</w:t>
            </w:r>
          </w:p>
        </w:tc>
      </w:tr>
      <w:tr>
        <w:trPr>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(v) Solution</w:t>
            </w:r>
          </w:p>
          <w:p>
            <w:pPr>
              <w:pStyle w:val="TableContents"/>
              <w:jc w:val="left"/>
              <w:rPr/>
            </w:pPr>
            <w:r>
              <w:rPr>
                <w:b w:val="false"/>
                <w:bCs w:val="false"/>
              </w:rPr>
              <w:t>(configuration of abstract spatial relational forces)</w:t>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bCs/>
              </w:rPr>
              <w:t xml:space="preserve">1. The MSC contains a </w:t>
            </w:r>
            <w:r>
              <w:rPr>
                <w:b/>
                <w:bCs/>
                <w:i/>
                <w:iCs/>
              </w:rPr>
              <w:t>self-service area</w:t>
            </w:r>
            <w:r>
              <w:rPr>
                <w:b/>
                <w:bCs/>
              </w:rPr>
              <w:t>.</w:t>
            </w:r>
          </w:p>
          <w:p>
            <w:pPr>
              <w:pStyle w:val="TableContents"/>
              <w:jc w:val="left"/>
              <w:rPr/>
            </w:pPr>
            <w:r>
              <w:rPr>
                <w:b/>
                <w:bCs/>
              </w:rPr>
              <w:t>2. … contains all of the basic information required by people who need help.</w:t>
            </w:r>
          </w:p>
          <w:p>
            <w:pPr>
              <w:pStyle w:val="TableContents"/>
              <w:jc w:val="left"/>
              <w:rPr/>
            </w:pPr>
            <w:r>
              <w:rPr>
                <w:b/>
                <w:bCs/>
              </w:rPr>
              <w:t>3. … in both languages.</w:t>
            </w:r>
          </w:p>
          <w:p>
            <w:pPr>
              <w:pStyle w:val="TableContents"/>
              <w:jc w:val="left"/>
              <w:rPr/>
            </w:pPr>
            <w:r>
              <w:rPr>
                <w:b/>
                <w:bCs/>
              </w:rPr>
              <w:t>4. … visible from all points in the waiting area.</w:t>
            </w:r>
          </w:p>
          <w:p>
            <w:pPr>
              <w:pStyle w:val="TableContents"/>
              <w:jc w:val="left"/>
              <w:rPr/>
            </w:pPr>
            <w:r>
              <w:rPr>
                <w:b/>
                <w:bCs/>
              </w:rPr>
              <w:t>5.  … contiguous … with service area.</w:t>
            </w:r>
          </w:p>
          <w:p>
            <w:pPr>
              <w:pStyle w:val="TableContents"/>
              <w:jc w:val="left"/>
              <w:rPr/>
            </w:pPr>
            <w:r>
              <w:rPr>
                <w:b/>
                <w:bCs/>
              </w:rPr>
              <w:t>6. … no receptionists or intake workers located at entrance ...</w:t>
            </w:r>
          </w:p>
          <w:p>
            <w:pPr>
              <w:pStyle w:val="TableContents"/>
              <w:jc w:val="left"/>
              <w:rPr/>
            </w:pPr>
            <w:r>
              <w:rPr>
                <w:b/>
                <w:bCs/>
              </w:rPr>
              <w:t>7. … advice area contains at least one easily accessible assistant ...</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b/>
                <w:bCs/>
              </w:rPr>
            </w:pPr>
            <w:r>
              <w:rPr>
                <w:b/>
                <w:bCs/>
              </w:rPr>
              <w:t xml:space="preserve">… </w:t>
            </w:r>
            <w:r>
              <w:rPr>
                <w:b/>
                <w:bCs/>
              </w:rPr>
              <w:t>no formal intake process …</w:t>
            </w:r>
          </w:p>
          <w:p>
            <w:pPr>
              <w:pStyle w:val="TableContents"/>
              <w:jc w:val="left"/>
              <w:rPr>
                <w:b/>
                <w:b/>
                <w:bCs/>
              </w:rPr>
            </w:pPr>
            <w:r>
              <w:rPr>
                <w:b/>
                <w:bCs/>
              </w:rPr>
              <w:t>1.  … field workers, in rotation … in a conversation and interview area.</w:t>
            </w:r>
          </w:p>
          <w:p>
            <w:pPr>
              <w:pStyle w:val="TableContents"/>
              <w:jc w:val="left"/>
              <w:rPr>
                <w:b/>
                <w:b/>
                <w:bCs/>
              </w:rPr>
            </w:pPr>
            <w:r>
              <w:rPr>
                <w:b/>
                <w:bCs/>
              </w:rPr>
              <w:t>2.  The intake area should be … next to the main entrance(s) … no receptionists.</w:t>
            </w:r>
          </w:p>
          <w:p>
            <w:pPr>
              <w:pStyle w:val="TableContents"/>
              <w:jc w:val="left"/>
              <w:rPr>
                <w:b/>
                <w:b/>
                <w:bCs/>
              </w:rPr>
            </w:pPr>
            <w:r>
              <w:rPr>
                <w:b/>
                <w:bCs/>
              </w:rPr>
              <w:t>3.  … should contain one or more open alcoves, at least 7 feet in diameter, and furnished with comfortable seats.</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b/>
                <w:b/>
                <w:bCs/>
              </w:rPr>
            </w:pPr>
            <w:r>
              <w:rPr>
                <w:b/>
                <w:bCs/>
              </w:rPr>
              <w:t>The child care station should be on the path from the building entrance to the place of business, and visible from this path; and … it looks into the child care station for roughly 20 feet along its length.</w:t>
            </w:r>
          </w:p>
        </w:tc>
      </w:tr>
      <w:tr>
        <w:trPr>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r>
      <w:tr>
        <w:trPr>
          <w:cantSplit w:val="true"/>
        </w:trPr>
        <w:tc>
          <w:tcPr>
            <w:tcW w:w="192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(vi) Completions to smaller patterns</w:t>
            </w:r>
          </w:p>
        </w:tc>
        <w:tc>
          <w:tcPr>
            <w:tcW w:w="255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27. Self-service progression</w:t>
            </w:r>
          </w:p>
        </w:tc>
        <w:tc>
          <w:tcPr>
            <w:tcW w:w="2331"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rPr/>
            </w:pPr>
            <w:r>
              <w:rPr/>
              <w:t>43. Sleeping OK</w:t>
            </w:r>
          </w:p>
        </w:tc>
        <w:tc>
          <w:tcPr>
            <w:tcW w:w="2267"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57. Child care contents</w:t>
            </w:r>
          </w:p>
        </w:tc>
      </w:tr>
    </w:tbl>
    <w:p>
      <w:pPr>
        <w:pStyle w:val="Normal"/>
        <w:rPr/>
      </w:pPr>
      <w:r>
        <w:rPr>
          <w:rFonts w:eastAsia="Liberation Serif" w:cs="Liberation Serif"/>
          <w:i w:val="false"/>
          <w:iCs w:val="false"/>
          <w:u w:val="none"/>
          <w:lang w:val="en-US" w:eastAsia="ja-JP"/>
        </w:rPr>
        <w:br/>
        <w:t xml:space="preserve">The patterns (#21, #28, #32) appeared as part of a cluster "given over to core services and those things that need to placed along the line of entry" </w:t>
      </w:r>
      <w:bookmarkStart w:id="457" w:name="__UnoMark__23526_140394355"/>
      <w:bookmarkStart w:id="458" w:name="__UnoMark__17305_140394355"/>
      <w:bookmarkStart w:id="459" w:name="__UnoMark__15919_140394355"/>
      <w:bookmarkStart w:id="460" w:name="__UnoMark__3622_1205087773"/>
      <w:bookmarkStart w:id="461" w:name="__UnoMark__5322_41873585"/>
      <w:bookmarkStart w:id="462" w:name="__UnoMark__4833_41873585"/>
      <w:bookmarkStart w:id="463" w:name="__UnoMark__3472_1689624541"/>
      <w:bookmarkStart w:id="464" w:name="__UnoMark__3125_1689624541"/>
      <w:bookmarkStart w:id="465" w:name="__UnoMark__2528_2050315779"/>
      <w:bookmarkStart w:id="466" w:name="__UnoMark__3805_1205087773"/>
      <w:bookmarkStart w:id="467" w:name="ZOTERO_BREF_MXw2jndFlGNN"/>
      <w:bookmarkStart w:id="468" w:name="__UnoMark__5124_2060183323"/>
      <w:bookmarkStart w:id="469" w:name="__UnoMark__5276_2060183323"/>
      <w:bookmarkStart w:id="470" w:name="__UnoMark__5442_2060183323"/>
      <w:bookmarkStart w:id="471" w:name="__UnoMark__5650_2060183323"/>
      <w:bookmarkStart w:id="472" w:name="__UnoMark__5830_2060183323"/>
      <w:bookmarkStart w:id="473" w:name="__UnoMark__6059_2060183323"/>
      <w:bookmarkStart w:id="474" w:name="__UnoMark__6328_41873585"/>
      <w:bookmarkStart w:id="475" w:name="__UnoMark__5835_41873585"/>
      <w:bookmarkStart w:id="476" w:name="__UnoMark__5545_60934169"/>
      <w:bookmarkStart w:id="477" w:name="__UnoMark__17890_1661744717"/>
      <w:bookmarkStart w:id="478" w:name="__UnoMark__17570_1661744717"/>
      <w:bookmarkStart w:id="479" w:name="__UnoMark__16679_1661744717"/>
      <w:bookmarkStart w:id="480" w:name="__UnoMark__5257_60934169"/>
      <w:bookmarkStart w:id="481" w:name="__UnoMark__14931_1661744717"/>
      <w:bookmarkStart w:id="482" w:name="__UnoMark__7125_1586897740"/>
      <w:bookmarkStart w:id="483" w:name="__UnoMark__13177_722878254"/>
      <w:bookmarkStart w:id="484" w:name="__UnoMark__12496_722878254"/>
      <w:bookmarkStart w:id="485" w:name="__UnoMark__11828_722878254"/>
      <w:bookmarkStart w:id="486" w:name="__UnoMark__5758_1443136783"/>
      <w:bookmarkStart w:id="487" w:name="__UnoMark__7404_41873585"/>
      <w:bookmarkStart w:id="488" w:name="__UnoMark__6926_41873585"/>
      <w:bookmarkStart w:id="489" w:name="__UnoMark__15805_1661744717"/>
      <w:bookmarkStart w:id="490" w:name="__UnoMark__10764_1492540610"/>
      <w:bookmarkStart w:id="491" w:name="__UnoMark__11384_1492540610"/>
      <w:bookmarkStart w:id="492" w:name="__UnoMark__7909_497913431"/>
      <w:bookmarkStart w:id="493" w:name="__UnoMark__22295_497913431"/>
      <w:bookmarkStart w:id="494" w:name="__UnoMark__23054_497913431"/>
      <w:bookmarkStart w:id="495" w:name="__UnoMark__23758_497913431"/>
      <w:bookmarkStart w:id="496" w:name="__UnoMark__24474_497913431"/>
      <w:bookmarkStart w:id="497" w:name="__UnoMark__10130_1492540610"/>
      <w:bookmarkStart w:id="498" w:name="__UnoMark__9414_435217427"/>
      <w:bookmarkStart w:id="499" w:name="__UnoMark__8767_283745954"/>
      <w:bookmarkStart w:id="500" w:name="__UnoMark__9588_283745954"/>
      <w:bookmarkStart w:id="501" w:name="__UnoMark__10684_283745954"/>
      <w:bookmarkStart w:id="502" w:name="__UnoMark__10965_283745954"/>
      <w:bookmarkStart w:id="503" w:name="__UnoMark__16308_1880123655"/>
      <w:bookmarkStart w:id="504" w:name="__UnoMark__17355_1880123655"/>
      <w:bookmarkStart w:id="505" w:name="__UnoMark__4958_2060183323"/>
      <w:bookmarkStart w:id="506" w:name="__UnoMark__25335_497913431"/>
      <w:bookmarkStart w:id="507" w:name="__UnoMark__5811_60934169"/>
      <w:bookmarkStart w:id="508" w:name="__UnoMark__6146_60934169"/>
      <w:bookmarkStart w:id="509" w:name="__UnoMark__6474_60934169"/>
      <w:bookmarkStart w:id="510" w:name="__UnoMark__6788_60934169"/>
      <w:bookmarkStart w:id="511" w:name="__UnoMark__3956_348219782"/>
      <w:bookmarkStart w:id="512" w:name="__UnoMark__4390_348219782"/>
      <w:bookmarkStart w:id="513" w:name="__UnoMark__12315_1244819659"/>
      <w:bookmarkStart w:id="514" w:name="__UnoMark__12746_1244819659"/>
      <w:bookmarkStart w:id="515" w:name="__UnoMark__18466_1880123655"/>
      <w:bookmarkStart w:id="516" w:name="__UnoMark__12889_1244819659"/>
      <w:bookmarkStart w:id="517" w:name="__UnoMark__3672_599023520"/>
      <w:bookmarkStart w:id="518" w:name="__UnoMark__4189_599023520"/>
      <w:bookmarkStart w:id="519" w:name="__UnoMark__5500_1492540610"/>
      <w:bookmarkStart w:id="520" w:name="__UnoMark__6085_1492540610"/>
      <w:bookmarkStart w:id="521" w:name="__UnoMark__8935_1492540610"/>
      <w:bookmarkStart w:id="522" w:name="__UnoMark__9531_1492540610"/>
      <w:bookmarkStart w:id="523" w:name="__UnoMark__27271_836371768"/>
      <w:bookmarkStart w:id="524" w:name="__UnoMark__28416_836371768"/>
      <w:bookmarkStart w:id="525" w:name="__UnoMark__29590_836371768"/>
      <w:bookmarkStart w:id="526" w:name="__UnoMark__30751_836371768"/>
      <w:bookmarkStart w:id="527" w:name="__UnoMark__40741_2025191570"/>
      <w:bookmarkStart w:id="528" w:name="__UnoMark__41957_2025191570"/>
      <w:bookmarkStart w:id="529" w:name="__UnoMark__43208_2025191570"/>
      <w:bookmarkStart w:id="530" w:name="__UnoMark__44468_2025191570"/>
      <w:r>
        <w:rPr>
          <w:rFonts w:eastAsia="Liberation Serif" w:cs="Liberation Serif"/>
          <w:i w:val="false"/>
          <w:iCs w:val="false"/>
          <w:u w:val="none"/>
          <w:lang w:val="en-US" w:eastAsia="ja-JP"/>
        </w:rPr>
        <w:t>(Alexander et al., 1968, p. 22)</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Fonts w:eastAsia="Liberation Serif" w:cs="Liberation Serif"/>
          <w:i w:val="false"/>
          <w:iCs w:val="false"/>
          <w:u w:val="none"/>
          <w:lang w:val="en-US" w:eastAsia="ja-JP"/>
        </w:rPr>
        <w:t>.  Since our focus on is the format rather than the content, let’s discuss the meaning of the rows.</w:t>
      </w:r>
    </w:p>
    <w:p>
      <w:pPr>
        <w:pStyle w:val="Normal"/>
        <w:rPr/>
      </w:pPr>
      <w:r>
        <w:rPr>
          <w:rFonts w:eastAsia="Liberation Serif" w:cs="Liberation Serif"/>
          <w:i/>
          <w:iCs/>
          <w:u w:val="none"/>
          <w:lang w:val="en-US" w:eastAsia="ja-JP"/>
        </w:rPr>
        <w:t>(I) Pattern name</w:t>
      </w:r>
      <w:r>
        <w:rPr>
          <w:rFonts w:eastAsia="Liberation Serif" w:cs="Liberation Serif"/>
          <w:i w:val="false"/>
          <w:iCs w:val="false"/>
          <w:u w:val="none"/>
          <w:lang w:val="en-US" w:eastAsia="ja-JP"/>
        </w:rPr>
        <w:t xml:space="preserve"> is typically a noun, or an adjective and noun that represents a place or spatial feature.  The headline, in bold type, "gives the essence of the problem in one or two sentences" </w:t>
      </w:r>
      <w:bookmarkStart w:id="531" w:name="__UnoMark__23527_140394355"/>
      <w:bookmarkStart w:id="532" w:name="__UnoMark__17306_140394355"/>
      <w:bookmarkStart w:id="533" w:name="__UnoMark__15920_140394355"/>
      <w:bookmarkStart w:id="534" w:name="__UnoMark__6329_41873585"/>
      <w:bookmarkStart w:id="535" w:name="__UnoMark__5836_41873585"/>
      <w:bookmarkStart w:id="536" w:name="__UnoMark__5323_41873585"/>
      <w:bookmarkStart w:id="537" w:name="__UnoMark__4834_41873585"/>
      <w:bookmarkStart w:id="538" w:name="__UnoMark__3473_1689624541"/>
      <w:bookmarkStart w:id="539" w:name="__UnoMark__3126_1689624541"/>
      <w:bookmarkStart w:id="540" w:name="ZOTERO_BREF_scvISLMUyjOu"/>
      <w:bookmarkStart w:id="541" w:name="__UnoMark__5258_60934169"/>
      <w:bookmarkStart w:id="542" w:name="__UnoMark__5546_60934169"/>
      <w:bookmarkStart w:id="543" w:name="__UnoMark__5812_60934169"/>
      <w:bookmarkStart w:id="544" w:name="__UnoMark__6475_60934169"/>
      <w:bookmarkStart w:id="545" w:name="__UnoMark__7405_41873585"/>
      <w:bookmarkStart w:id="546" w:name="__UnoMark__6927_41873585"/>
      <w:bookmarkStart w:id="547" w:name="__UnoMark__5759_1443136783"/>
      <w:bookmarkStart w:id="548" w:name="__UnoMark__11829_722878254"/>
      <w:bookmarkStart w:id="549" w:name="__UnoMark__12497_722878254"/>
      <w:bookmarkStart w:id="550" w:name="__UnoMark__13178_722878254"/>
      <w:bookmarkStart w:id="551" w:name="__UnoMark__7126_1586897740"/>
      <w:bookmarkStart w:id="552" w:name="__UnoMark__14932_1661744717"/>
      <w:bookmarkStart w:id="553" w:name="__UnoMark__15806_1661744717"/>
      <w:bookmarkStart w:id="554" w:name="__UnoMark__16680_1661744717"/>
      <w:bookmarkStart w:id="555" w:name="__UnoMark__17571_1661744717"/>
      <w:bookmarkStart w:id="556" w:name="__UnoMark__17891_1661744717"/>
      <w:bookmarkStart w:id="557" w:name="__UnoMark__3957_348219782"/>
      <w:bookmarkStart w:id="558" w:name="__UnoMark__6789_60934169"/>
      <w:bookmarkStart w:id="559" w:name="__UnoMark__18467_1880123655"/>
      <w:bookmarkStart w:id="560" w:name="__UnoMark__17356_1880123655"/>
      <w:bookmarkStart w:id="561" w:name="__UnoMark__16309_1880123655"/>
      <w:bookmarkStart w:id="562" w:name="__UnoMark__10966_283745954"/>
      <w:bookmarkStart w:id="563" w:name="__UnoMark__10685_283745954"/>
      <w:bookmarkStart w:id="564" w:name="__UnoMark__9589_283745954"/>
      <w:bookmarkStart w:id="565" w:name="__UnoMark__8768_283745954"/>
      <w:bookmarkStart w:id="566" w:name="__UnoMark__9415_435217427"/>
      <w:bookmarkStart w:id="567" w:name="__UnoMark__25336_497913431"/>
      <w:bookmarkStart w:id="568" w:name="__UnoMark__24475_497913431"/>
      <w:bookmarkStart w:id="569" w:name="__UnoMark__23759_497913431"/>
      <w:bookmarkStart w:id="570" w:name="__UnoMark__23055_497913431"/>
      <w:bookmarkStart w:id="571" w:name="__UnoMark__22296_497913431"/>
      <w:bookmarkStart w:id="572" w:name="__UnoMark__7910_497913431"/>
      <w:bookmarkStart w:id="573" w:name="__UnoMark__4391_348219782"/>
      <w:bookmarkStart w:id="574" w:name="__UnoMark__12316_1244819659"/>
      <w:bookmarkStart w:id="575" w:name="__UnoMark__6147_60934169"/>
      <w:bookmarkStart w:id="576" w:name="__UnoMark__12747_1244819659"/>
      <w:bookmarkStart w:id="577" w:name="__UnoMark__12890_1244819659"/>
      <w:bookmarkStart w:id="578" w:name="__UnoMark__3673_599023520"/>
      <w:bookmarkStart w:id="579" w:name="__UnoMark__4190_599023520"/>
      <w:bookmarkStart w:id="580" w:name="__UnoMark__5501_1492540610"/>
      <w:bookmarkStart w:id="581" w:name="__UnoMark__6086_1492540610"/>
      <w:bookmarkStart w:id="582" w:name="__UnoMark__8936_1492540610"/>
      <w:bookmarkStart w:id="583" w:name="__UnoMark__9532_1492540610"/>
      <w:bookmarkStart w:id="584" w:name="__UnoMark__10131_1492540610"/>
      <w:bookmarkStart w:id="585" w:name="__UnoMark__10765_1492540610"/>
      <w:bookmarkStart w:id="586" w:name="__UnoMark__11385_1492540610"/>
      <w:bookmarkStart w:id="587" w:name="__UnoMark__27272_836371768"/>
      <w:bookmarkStart w:id="588" w:name="__UnoMark__28417_836371768"/>
      <w:bookmarkStart w:id="589" w:name="__UnoMark__29591_836371768"/>
      <w:bookmarkStart w:id="590" w:name="__UnoMark__30752_836371768"/>
      <w:bookmarkStart w:id="591" w:name="__UnoMark__40742_2025191570"/>
      <w:bookmarkStart w:id="592" w:name="__UnoMark__41958_2025191570"/>
      <w:bookmarkStart w:id="593" w:name="__UnoMark__43209_2025191570"/>
      <w:bookmarkStart w:id="594" w:name="__UnoMark__44469_2025191570"/>
      <w:r>
        <w:rPr>
          <w:rFonts w:eastAsia="Liberation Serif" w:cs="Liberation Serif"/>
          <w:i w:val="false"/>
          <w:iCs w:val="false"/>
          <w:u w:val="none"/>
          <w:lang w:val="en-US" w:eastAsia="ja-JP"/>
        </w:rPr>
        <w:t>(Alexander, Ishikawa, &amp; Silverstein, 1977, p. xi)</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Pr>
          <w:rFonts w:eastAsia="Liberation Serif" w:cs="Liberation Serif"/>
          <w:i w:val="false"/>
          <w:iCs w:val="false"/>
          <w:u w:val="none"/>
          <w:lang w:val="en-US" w:eastAsia="ja-JP"/>
        </w:rPr>
        <w:t>.</w:t>
      </w:r>
    </w:p>
    <w:p>
      <w:pPr>
        <w:pStyle w:val="Normal"/>
        <w:rPr/>
      </w:pPr>
      <w:r>
        <w:rPr>
          <w:rFonts w:eastAsia="Liberation Serif" w:cs="Liberation Serif"/>
          <w:i/>
          <w:iCs/>
          <w:u w:val="none"/>
          <w:lang w:val="en-US" w:eastAsia="ja-JP"/>
        </w:rPr>
        <w:t>(ii) Completions of larger patterns</w:t>
      </w:r>
      <w:r>
        <w:rPr>
          <w:rFonts w:eastAsia="Liberation Serif" w:cs="Liberation Serif"/>
          <w:i w:val="false"/>
          <w:iCs w:val="false"/>
          <w:u w:val="none"/>
          <w:lang w:val="en-US" w:eastAsia="ja-JP"/>
        </w:rPr>
        <w:t xml:space="preserve"> lists connections from other patterns at larger scales, that are generally ordered preceding this level.  A pattern exists in the world only to the extent that it is embedded in larger patterns.  "</w:t>
      </w:r>
      <w:r>
        <w:rPr>
          <w:rFonts w:eastAsia="Liberation Serif" w:cs="Liberation Serif"/>
          <w:i/>
          <w:iCs/>
          <w:u w:val="none"/>
          <w:lang w:val="en-US" w:eastAsia="ja-JP"/>
        </w:rPr>
        <w:t>[… Autonomous] creation of the parts, if taken by itself, will produce chaos</w:t>
      </w:r>
      <w:r>
        <w:rPr>
          <w:rFonts w:eastAsia="Liberation Serif" w:cs="Liberation Serif"/>
          <w:i w:val="false"/>
          <w:iCs w:val="false"/>
          <w:u w:val="none"/>
          <w:lang w:val="en-US" w:eastAsia="ja-JP"/>
        </w:rPr>
        <w:t xml:space="preserve">.  The parts will not form any larger whole, unless the individual adaptation of the parts is under some sort of deeper regulation, which guarantees that the local process of adaptation will not only make the local part truly adapted to its own processes, but that it will also be shaped to form a larger whole" </w:t>
      </w:r>
      <w:bookmarkStart w:id="595" w:name="__UnoMark__23528_140394355"/>
      <w:bookmarkStart w:id="596" w:name="__UnoMark__17307_140394355"/>
      <w:bookmarkStart w:id="597" w:name="__UnoMark__15921_140394355"/>
      <w:bookmarkStart w:id="598" w:name="ZOTERO_BREF_6ND1BrmtqBIA"/>
      <w:bookmarkStart w:id="599" w:name="__UnoMark__5837_41873585"/>
      <w:bookmarkStart w:id="600" w:name="__UnoMark__5324_41873585"/>
      <w:bookmarkStart w:id="601" w:name="__UnoMark__4835_41873585"/>
      <w:bookmarkStart w:id="602" w:name="__UnoMark__3474_1689624541"/>
      <w:bookmarkStart w:id="603" w:name="__UnoMark__3127_1689624541"/>
      <w:bookmarkStart w:id="604" w:name="__UnoMark__5259_60934169"/>
      <w:bookmarkStart w:id="605" w:name="__UnoMark__5547_60934169"/>
      <w:bookmarkStart w:id="606" w:name="__UnoMark__5813_60934169"/>
      <w:bookmarkStart w:id="607" w:name="__UnoMark__6148_60934169"/>
      <w:bookmarkStart w:id="608" w:name="__UnoMark__6928_41873585"/>
      <w:bookmarkStart w:id="609" w:name="__UnoMark__6330_41873585"/>
      <w:bookmarkStart w:id="610" w:name="__UnoMark__7406_41873585"/>
      <w:bookmarkStart w:id="611" w:name="__UnoMark__5760_1443136783"/>
      <w:bookmarkStart w:id="612" w:name="__UnoMark__11830_722878254"/>
      <w:bookmarkStart w:id="613" w:name="__UnoMark__12498_722878254"/>
      <w:bookmarkStart w:id="614" w:name="__UnoMark__13179_722878254"/>
      <w:bookmarkStart w:id="615" w:name="__UnoMark__7127_1586897740"/>
      <w:bookmarkStart w:id="616" w:name="__UnoMark__14933_1661744717"/>
      <w:bookmarkStart w:id="617" w:name="__UnoMark__15807_1661744717"/>
      <w:bookmarkStart w:id="618" w:name="__UnoMark__16681_1661744717"/>
      <w:bookmarkStart w:id="619" w:name="__UnoMark__17572_1661744717"/>
      <w:bookmarkStart w:id="620" w:name="__UnoMark__17892_1661744717"/>
      <w:bookmarkStart w:id="621" w:name="__UnoMark__6790_60934169"/>
      <w:bookmarkStart w:id="622" w:name="__UnoMark__6476_60934169"/>
      <w:bookmarkStart w:id="623" w:name="__UnoMark__4191_599023520"/>
      <w:bookmarkStart w:id="624" w:name="__UnoMark__18468_1880123655"/>
      <w:bookmarkStart w:id="625" w:name="__UnoMark__17357_1880123655"/>
      <w:bookmarkStart w:id="626" w:name="__UnoMark__16310_1880123655"/>
      <w:bookmarkStart w:id="627" w:name="__UnoMark__10967_283745954"/>
      <w:bookmarkStart w:id="628" w:name="__UnoMark__10686_283745954"/>
      <w:bookmarkStart w:id="629" w:name="__UnoMark__9590_283745954"/>
      <w:bookmarkStart w:id="630" w:name="__UnoMark__8769_283745954"/>
      <w:bookmarkStart w:id="631" w:name="__UnoMark__9416_435217427"/>
      <w:bookmarkStart w:id="632" w:name="__UnoMark__25337_497913431"/>
      <w:bookmarkStart w:id="633" w:name="__UnoMark__24476_497913431"/>
      <w:bookmarkStart w:id="634" w:name="__UnoMark__23760_497913431"/>
      <w:bookmarkStart w:id="635" w:name="__UnoMark__23056_497913431"/>
      <w:bookmarkStart w:id="636" w:name="__UnoMark__22297_497913431"/>
      <w:bookmarkStart w:id="637" w:name="__UnoMark__3958_348219782"/>
      <w:bookmarkStart w:id="638" w:name="__UnoMark__4392_348219782"/>
      <w:bookmarkStart w:id="639" w:name="__UnoMark__12317_1244819659"/>
      <w:bookmarkStart w:id="640" w:name="__UnoMark__12748_1244819659"/>
      <w:bookmarkStart w:id="641" w:name="__UnoMark__12891_1244819659"/>
      <w:bookmarkStart w:id="642" w:name="__UnoMark__3674_599023520"/>
      <w:bookmarkStart w:id="643" w:name="__UnoMark__5502_1492540610"/>
      <w:bookmarkStart w:id="644" w:name="__UnoMark__6087_1492540610"/>
      <w:bookmarkStart w:id="645" w:name="__UnoMark__8937_1492540610"/>
      <w:bookmarkStart w:id="646" w:name="__UnoMark__9533_1492540610"/>
      <w:bookmarkStart w:id="647" w:name="__UnoMark__10132_1492540610"/>
      <w:bookmarkStart w:id="648" w:name="__UnoMark__10766_1492540610"/>
      <w:bookmarkStart w:id="649" w:name="__UnoMark__11386_1492540610"/>
      <w:bookmarkStart w:id="650" w:name="__UnoMark__7911_497913431"/>
      <w:bookmarkStart w:id="651" w:name="__UnoMark__27273_836371768"/>
      <w:bookmarkStart w:id="652" w:name="__UnoMark__28418_836371768"/>
      <w:bookmarkStart w:id="653" w:name="__UnoMark__29592_836371768"/>
      <w:bookmarkStart w:id="654" w:name="__UnoMark__30753_836371768"/>
      <w:bookmarkStart w:id="655" w:name="__UnoMark__40743_2025191570"/>
      <w:bookmarkStart w:id="656" w:name="__UnoMark__41959_2025191570"/>
      <w:bookmarkStart w:id="657" w:name="__UnoMark__43210_2025191570"/>
      <w:bookmarkStart w:id="658" w:name="__UnoMark__44470_2025191570"/>
      <w:r>
        <w:rPr>
          <w:rFonts w:eastAsia="Liberation Serif" w:cs="Liberation Serif"/>
          <w:b w:val="false"/>
          <w:i w:val="false"/>
          <w:iCs w:val="false"/>
          <w:caps w:val="false"/>
          <w:smallCaps w:val="false"/>
          <w:position w:val="0"/>
          <w:sz w:val="22"/>
          <w:sz w:val="22"/>
          <w:u w:val="none"/>
          <w:vertAlign w:val="baseline"/>
          <w:lang w:val="en-US" w:eastAsia="ja-JP"/>
        </w:rPr>
        <w:t>(Alexander, 1979, pp. 164</w:t>
      </w:r>
      <w:r>
        <w:rPr>
          <w:b w:val="false"/>
          <w:i w:val="false"/>
          <w:caps w:val="false"/>
          <w:smallCaps w:val="false"/>
          <w:position w:val="0"/>
          <w:sz w:val="22"/>
          <w:sz w:val="22"/>
          <w:u w:val="none"/>
          <w:vertAlign w:val="baseline"/>
        </w:rPr>
        <w:t>–165)</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Pr>
          <w:rFonts w:eastAsia="Liberation Serif" w:cs="Liberation Serif"/>
          <w:i w:val="false"/>
          <w:iCs w:val="false"/>
          <w:u w:val="none"/>
          <w:lang w:val="en-US" w:eastAsia="ja-JP"/>
        </w:rPr>
        <w:t>.</w:t>
      </w:r>
    </w:p>
    <w:p>
      <w:pPr>
        <w:pStyle w:val="Normal"/>
        <w:rPr/>
      </w:pPr>
      <w:r>
        <w:rPr>
          <w:rFonts w:eastAsia="Liberation Serif" w:cs="Liberation Serif"/>
          <w:i/>
          <w:iCs/>
          <w:u w:val="none"/>
          <w:lang w:val="en-US" w:eastAsia="ja-JP"/>
        </w:rPr>
        <w:t>(iii) Range of contexts</w:t>
      </w:r>
      <w:r>
        <w:rPr>
          <w:rFonts w:eastAsia="Liberation Serif" w:cs="Liberation Serif"/>
          <w:i w:val="false"/>
          <w:iCs w:val="false"/>
          <w:u w:val="none"/>
          <w:lang w:val="en-US" w:eastAsia="ja-JP"/>
        </w:rPr>
        <w:t xml:space="preserve"> describes physical features and/or sets of conditions under which the relation between problem and solution become invariant.  "To make the pattern really useful, we must define the exact range of contexts where the stated problem occurs, and where this particular solution to the problem is appropriate" </w:t>
      </w:r>
      <w:bookmarkStart w:id="659" w:name="__UnoMark__23529_140394355"/>
      <w:bookmarkStart w:id="660" w:name="__UnoMark__17308_140394355"/>
      <w:bookmarkStart w:id="661" w:name="__UnoMark__15922_140394355"/>
      <w:bookmarkStart w:id="662" w:name="__UnoMark__5838_41873585"/>
      <w:bookmarkStart w:id="663" w:name="__UnoMark__5325_41873585"/>
      <w:bookmarkStart w:id="664" w:name="__UnoMark__4836_41873585"/>
      <w:bookmarkStart w:id="665" w:name="__UnoMark__3475_1689624541"/>
      <w:bookmarkStart w:id="666" w:name="__UnoMark__3128_1689624541"/>
      <w:bookmarkStart w:id="667" w:name="ZOTERO_BREF_J0AbdYUVxaXx"/>
      <w:bookmarkStart w:id="668" w:name="__UnoMark__5260_60934169"/>
      <w:bookmarkStart w:id="669" w:name="__UnoMark__5548_60934169"/>
      <w:bookmarkStart w:id="670" w:name="__UnoMark__5814_60934169"/>
      <w:bookmarkStart w:id="671" w:name="__UnoMark__6149_60934169"/>
      <w:bookmarkStart w:id="672" w:name="__UnoMark__6791_60934169"/>
      <w:bookmarkStart w:id="673" w:name="__UnoMark__6929_41873585"/>
      <w:bookmarkStart w:id="674" w:name="__UnoMark__6331_41873585"/>
      <w:bookmarkStart w:id="675" w:name="__UnoMark__7407_41873585"/>
      <w:bookmarkStart w:id="676" w:name="__UnoMark__5761_1443136783"/>
      <w:bookmarkStart w:id="677" w:name="__UnoMark__11831_722878254"/>
      <w:bookmarkStart w:id="678" w:name="__UnoMark__12499_722878254"/>
      <w:bookmarkStart w:id="679" w:name="__UnoMark__13180_722878254"/>
      <w:bookmarkStart w:id="680" w:name="__UnoMark__7128_1586897740"/>
      <w:bookmarkStart w:id="681" w:name="__UnoMark__14934_1661744717"/>
      <w:bookmarkStart w:id="682" w:name="__UnoMark__15808_1661744717"/>
      <w:bookmarkStart w:id="683" w:name="__UnoMark__16682_1661744717"/>
      <w:bookmarkStart w:id="684" w:name="__UnoMark__17573_1661744717"/>
      <w:bookmarkStart w:id="685" w:name="__UnoMark__17893_1661744717"/>
      <w:bookmarkStart w:id="686" w:name="__UnoMark__6477_60934169"/>
      <w:bookmarkStart w:id="687" w:name="__UnoMark__12318_1244819659"/>
      <w:bookmarkStart w:id="688" w:name="__UnoMark__18469_1880123655"/>
      <w:bookmarkStart w:id="689" w:name="__UnoMark__17358_1880123655"/>
      <w:bookmarkStart w:id="690" w:name="__UnoMark__16311_1880123655"/>
      <w:bookmarkStart w:id="691" w:name="__UnoMark__10968_283745954"/>
      <w:bookmarkStart w:id="692" w:name="__UnoMark__10687_283745954"/>
      <w:bookmarkStart w:id="693" w:name="__UnoMark__9591_283745954"/>
      <w:bookmarkStart w:id="694" w:name="__UnoMark__8770_283745954"/>
      <w:bookmarkStart w:id="695" w:name="__UnoMark__9417_435217427"/>
      <w:bookmarkStart w:id="696" w:name="__UnoMark__25338_497913431"/>
      <w:bookmarkStart w:id="697" w:name="__UnoMark__24477_497913431"/>
      <w:bookmarkStart w:id="698" w:name="__UnoMark__23761_497913431"/>
      <w:bookmarkStart w:id="699" w:name="__UnoMark__23057_497913431"/>
      <w:bookmarkStart w:id="700" w:name="__UnoMark__22298_497913431"/>
      <w:bookmarkStart w:id="701" w:name="__UnoMark__3959_348219782"/>
      <w:bookmarkStart w:id="702" w:name="__UnoMark__4393_348219782"/>
      <w:bookmarkStart w:id="703" w:name="__UnoMark__12749_1244819659"/>
      <w:bookmarkStart w:id="704" w:name="__UnoMark__12892_1244819659"/>
      <w:bookmarkStart w:id="705" w:name="__UnoMark__3675_599023520"/>
      <w:bookmarkStart w:id="706" w:name="__UnoMark__4192_599023520"/>
      <w:bookmarkStart w:id="707" w:name="__UnoMark__5503_1492540610"/>
      <w:bookmarkStart w:id="708" w:name="__UnoMark__6088_1492540610"/>
      <w:bookmarkStart w:id="709" w:name="__UnoMark__8938_1492540610"/>
      <w:bookmarkStart w:id="710" w:name="__UnoMark__9534_1492540610"/>
      <w:bookmarkStart w:id="711" w:name="__UnoMark__10133_1492540610"/>
      <w:bookmarkStart w:id="712" w:name="__UnoMark__10767_1492540610"/>
      <w:bookmarkStart w:id="713" w:name="__UnoMark__11387_1492540610"/>
      <w:bookmarkStart w:id="714" w:name="__UnoMark__7912_497913431"/>
      <w:bookmarkStart w:id="715" w:name="__UnoMark__27274_836371768"/>
      <w:bookmarkStart w:id="716" w:name="__UnoMark__28419_836371768"/>
      <w:bookmarkStart w:id="717" w:name="__UnoMark__29593_836371768"/>
      <w:bookmarkStart w:id="718" w:name="__UnoMark__30754_836371768"/>
      <w:bookmarkStart w:id="719" w:name="__UnoMark__40744_2025191570"/>
      <w:bookmarkStart w:id="720" w:name="__UnoMark__41960_2025191570"/>
      <w:bookmarkStart w:id="721" w:name="__UnoMark__43211_2025191570"/>
      <w:bookmarkStart w:id="722" w:name="__UnoMark__44471_2025191570"/>
      <w:r>
        <w:rPr>
          <w:rFonts w:eastAsia="Liberation Serif" w:cs="Liberation Serif"/>
          <w:i w:val="false"/>
          <w:iCs w:val="false"/>
          <w:u w:val="none"/>
          <w:lang w:val="en-US" w:eastAsia="ja-JP"/>
        </w:rPr>
        <w:t>(Alexander, 1979, p. 253)</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Pr>
          <w:rFonts w:eastAsia="Liberation Serif" w:cs="Liberation Serif"/>
          <w:i w:val="false"/>
          <w:iCs w:val="false"/>
          <w:u w:val="none"/>
          <w:lang w:val="en-US" w:eastAsia="ja-JP"/>
        </w:rPr>
        <w:t>.  The range of contexts is where the pattern makes sense.</w:t>
      </w:r>
    </w:p>
    <w:p>
      <w:pPr>
        <w:pStyle w:val="Normal"/>
        <w:rPr/>
      </w:pPr>
      <w:r>
        <w:rPr>
          <w:rFonts w:eastAsia="Liberation Serif" w:cs="Liberation Serif"/>
          <w:i/>
          <w:iCs/>
          <w:u w:val="none"/>
          <w:lang w:val="en-US" w:eastAsia="ja-JP"/>
        </w:rPr>
        <w:t>(iv) Problem to be solved</w:t>
      </w:r>
      <w:r>
        <w:rPr>
          <w:rFonts w:eastAsia="Liberation Serif" w:cs="Liberation Serif"/>
          <w:i w:val="false"/>
          <w:iCs w:val="false"/>
          <w:u w:val="none"/>
          <w:lang w:val="en-US" w:eastAsia="ja-JP"/>
        </w:rPr>
        <w:t xml:space="preserve"> is a system of forces that arises in shaping the built environment. In </w:t>
      </w:r>
      <w:r>
        <w:rPr>
          <w:rFonts w:eastAsia="Liberation Serif" w:cs="Liberation Serif"/>
          <w:i/>
          <w:iCs/>
          <w:u w:val="none"/>
          <w:lang w:val="en-US" w:eastAsia="ja-JP"/>
        </w:rPr>
        <w:t>Notes on the Synthesis of Form</w:t>
      </w:r>
      <w:r>
        <w:rPr>
          <w:rFonts w:eastAsia="Liberation Serif" w:cs="Liberation Serif"/>
          <w:i w:val="false"/>
          <w:iCs w:val="false"/>
          <w:u w:val="none"/>
          <w:lang w:val="en-US" w:eastAsia="ja-JP"/>
        </w:rPr>
        <w:t xml:space="preserve">, Alexander brings the idea of forces from physical matter shaped by varieties of energy (e.g. mechanical, electrical):  "Now the state, including the shape or form, of a portion of matter is the resultant of a number of forces, which represent or symbolize the manifestations of various kinds of energy; and it is obvious, accordingly that a great part of physical science must be understood or taken for granted as the necessary preliminary to the discussion on which we are engaged" </w:t>
      </w:r>
      <w:bookmarkStart w:id="723" w:name="__UnoMark__23530_140394355"/>
      <w:bookmarkStart w:id="724" w:name="__UnoMark__17309_140394355"/>
      <w:bookmarkStart w:id="725" w:name="__UnoMark__15923_140394355"/>
      <w:bookmarkStart w:id="726" w:name="__UnoMark__3801_1205087773"/>
      <w:bookmarkStart w:id="727" w:name="__UnoMark__5326_41873585"/>
      <w:bookmarkStart w:id="728" w:name="__UnoMark__4837_41873585"/>
      <w:bookmarkStart w:id="729" w:name="__UnoMark__3476_1689624541"/>
      <w:bookmarkStart w:id="730" w:name="__UnoMark__3129_1689624541"/>
      <w:bookmarkStart w:id="731" w:name="__UnoMark__2529_2050315779"/>
      <w:bookmarkStart w:id="732" w:name="ZOTERO_BREF_sETXkx5WUrPu"/>
      <w:bookmarkStart w:id="733" w:name="__UnoMark__4959_2060183323"/>
      <w:bookmarkStart w:id="734" w:name="__UnoMark__5125_2060183323"/>
      <w:bookmarkStart w:id="735" w:name="__UnoMark__5277_2060183323"/>
      <w:bookmarkStart w:id="736" w:name="__UnoMark__5443_2060183323"/>
      <w:bookmarkStart w:id="737" w:name="__UnoMark__5651_2060183323"/>
      <w:bookmarkStart w:id="738" w:name="__UnoMark__5831_2060183323"/>
      <w:bookmarkStart w:id="739" w:name="__UnoMark__6060_2060183323"/>
      <w:bookmarkStart w:id="740" w:name="__UnoMark__6332_41873585"/>
      <w:bookmarkStart w:id="741" w:name="__UnoMark__5839_41873585"/>
      <w:bookmarkStart w:id="742" w:name="__UnoMark__5549_60934169"/>
      <w:bookmarkStart w:id="743" w:name="__UnoMark__17894_1661744717"/>
      <w:bookmarkStart w:id="744" w:name="__UnoMark__17574_1661744717"/>
      <w:bookmarkStart w:id="745" w:name="__UnoMark__16683_1661744717"/>
      <w:bookmarkStart w:id="746" w:name="__UnoMark__5261_60934169"/>
      <w:bookmarkStart w:id="747" w:name="__UnoMark__14935_1661744717"/>
      <w:bookmarkStart w:id="748" w:name="__UnoMark__7129_1586897740"/>
      <w:bookmarkStart w:id="749" w:name="__UnoMark__13181_722878254"/>
      <w:bookmarkStart w:id="750" w:name="__UnoMark__12500_722878254"/>
      <w:bookmarkStart w:id="751" w:name="__UnoMark__11832_722878254"/>
      <w:bookmarkStart w:id="752" w:name="__UnoMark__5762_1443136783"/>
      <w:bookmarkStart w:id="753" w:name="__UnoMark__7408_41873585"/>
      <w:bookmarkStart w:id="754" w:name="__UnoMark__6930_41873585"/>
      <w:bookmarkStart w:id="755" w:name="__UnoMark__15809_1661744717"/>
      <w:bookmarkStart w:id="756" w:name="__UnoMark__10969_283745954"/>
      <w:bookmarkStart w:id="757" w:name="__UnoMark__18470_1880123655"/>
      <w:bookmarkStart w:id="758" w:name="__UnoMark__17359_1880123655"/>
      <w:bookmarkStart w:id="759" w:name="__UnoMark__16312_1880123655"/>
      <w:bookmarkStart w:id="760" w:name="__UnoMark__10688_283745954"/>
      <w:bookmarkStart w:id="761" w:name="__UnoMark__9592_283745954"/>
      <w:bookmarkStart w:id="762" w:name="__UnoMark__8771_283745954"/>
      <w:bookmarkStart w:id="763" w:name="__UnoMark__9418_435217427"/>
      <w:bookmarkStart w:id="764" w:name="__UnoMark__25339_497913431"/>
      <w:bookmarkStart w:id="765" w:name="__UnoMark__24478_497913431"/>
      <w:bookmarkStart w:id="766" w:name="__UnoMark__23762_497913431"/>
      <w:bookmarkStart w:id="767" w:name="__UnoMark__23058_497913431"/>
      <w:bookmarkStart w:id="768" w:name="__UnoMark__22299_497913431"/>
      <w:bookmarkStart w:id="769" w:name="__UnoMark__7913_497913431"/>
      <w:bookmarkStart w:id="770" w:name="__UnoMark__11388_1492540610"/>
      <w:bookmarkStart w:id="771" w:name="__UnoMark__10768_1492540610"/>
      <w:bookmarkStart w:id="772" w:name="__UnoMark__5815_60934169"/>
      <w:bookmarkStart w:id="773" w:name="__UnoMark__6150_60934169"/>
      <w:bookmarkStart w:id="774" w:name="__UnoMark__6478_60934169"/>
      <w:bookmarkStart w:id="775" w:name="__UnoMark__6792_60934169"/>
      <w:bookmarkStart w:id="776" w:name="__UnoMark__3960_348219782"/>
      <w:bookmarkStart w:id="777" w:name="__UnoMark__4394_348219782"/>
      <w:bookmarkStart w:id="778" w:name="__UnoMark__12319_1244819659"/>
      <w:bookmarkStart w:id="779" w:name="__UnoMark__12750_1244819659"/>
      <w:bookmarkStart w:id="780" w:name="__UnoMark__12893_1244819659"/>
      <w:bookmarkStart w:id="781" w:name="__UnoMark__3676_599023520"/>
      <w:bookmarkStart w:id="782" w:name="__UnoMark__4193_599023520"/>
      <w:bookmarkStart w:id="783" w:name="__UnoMark__5504_1492540610"/>
      <w:bookmarkStart w:id="784" w:name="__UnoMark__6089_1492540610"/>
      <w:bookmarkStart w:id="785" w:name="__UnoMark__8939_1492540610"/>
      <w:bookmarkStart w:id="786" w:name="__UnoMark__9535_1492540610"/>
      <w:bookmarkStart w:id="787" w:name="__UnoMark__10134_1492540610"/>
      <w:bookmarkStart w:id="788" w:name="__UnoMark__27275_836371768"/>
      <w:bookmarkStart w:id="789" w:name="__UnoMark__28420_836371768"/>
      <w:bookmarkStart w:id="790" w:name="__UnoMark__29594_836371768"/>
      <w:bookmarkStart w:id="791" w:name="__UnoMark__30755_836371768"/>
      <w:bookmarkStart w:id="792" w:name="__UnoMark__40745_2025191570"/>
      <w:bookmarkStart w:id="793" w:name="__UnoMark__41961_2025191570"/>
      <w:bookmarkStart w:id="794" w:name="__UnoMark__43212_2025191570"/>
      <w:bookmarkStart w:id="795" w:name="__UnoMark__44472_2025191570"/>
      <w:r>
        <w:rPr>
          <w:rFonts w:eastAsia="Liberation Serif" w:cs="Liberation Serif"/>
          <w:i w:val="false"/>
          <w:iCs w:val="false"/>
          <w:u w:val="none"/>
          <w:lang w:val="en-US" w:eastAsia="ja-JP"/>
        </w:rPr>
        <w:t>(Thompson, 1942, p. 11)</w:t>
      </w:r>
      <w:bookmarkStart w:id="796" w:name="__UnoMark__3838_1205087773"/>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Pr>
          <w:rFonts w:eastAsia="Liberation Serif" w:cs="Liberation Serif"/>
          <w:i w:val="false"/>
          <w:iCs w:val="false"/>
          <w:u w:val="none"/>
          <w:lang w:val="en-US" w:eastAsia="ja-JP"/>
        </w:rPr>
        <w:t>.</w:t>
      </w:r>
    </w:p>
    <w:p>
      <w:pPr>
        <w:pStyle w:val="Normal"/>
        <w:rPr/>
      </w:pPr>
      <w:r>
        <w:rPr>
          <w:rFonts w:eastAsia="Liberation Serif" w:cs="Liberation Serif"/>
          <w:i w:val="false"/>
          <w:iCs w:val="false"/>
          <w:u w:val="none"/>
          <w:lang w:val="en-US" w:eastAsia="ja-JP"/>
        </w:rPr>
        <w:t xml:space="preserve">In </w:t>
      </w:r>
      <w:r>
        <w:rPr>
          <w:rFonts w:eastAsia="Liberation Serif" w:cs="Liberation Serif"/>
          <w:i/>
          <w:iCs/>
          <w:u w:val="none"/>
          <w:lang w:val="en-US" w:eastAsia="ja-JP"/>
        </w:rPr>
        <w:t>The Timeless Way of Building</w:t>
      </w:r>
      <w:r>
        <w:rPr>
          <w:rFonts w:eastAsia="Liberation Serif" w:cs="Liberation Serif"/>
          <w:i w:val="false"/>
          <w:iCs w:val="false"/>
          <w:u w:val="none"/>
          <w:lang w:val="en-US" w:eastAsia="ja-JP"/>
        </w:rPr>
        <w:t xml:space="preserve">, types of forces include erosion, gravity, "forces of law", and  inner "psychic" forces.  Placing a table in a garden where birds can find food in winter has been expressed in terms of forces:  "Most of the places where I put the table actually don’t work.  I slowly learn that blackbirds have a million subtle forces guiding their behavior.  If I don’t understand these forces, there is simply nothing I can do to make the table come to life.  So long as the placing of the table is inexact, my image of the blackbirds flocked around the table eating, is just wishful thinking.  To make the table live, I must take these forces seriously, and place the table in a position which is perfectly exact" </w:t>
      </w:r>
      <w:bookmarkStart w:id="797" w:name="__UnoMark__23531_140394355"/>
      <w:bookmarkStart w:id="798" w:name="__UnoMark__17310_140394355"/>
      <w:bookmarkStart w:id="799" w:name="__UnoMark__15924_140394355"/>
      <w:bookmarkStart w:id="800" w:name="__UnoMark__5327_41873585"/>
      <w:bookmarkStart w:id="801" w:name="__UnoMark__3130_1689624541"/>
      <w:bookmarkStart w:id="802" w:name="__UnoMark__4838_41873585"/>
      <w:bookmarkStart w:id="803" w:name="__UnoMark__5840_41873585"/>
      <w:bookmarkStart w:id="804" w:name="__UnoMark__6333_41873585"/>
      <w:bookmarkStart w:id="805" w:name="__UnoMark__7409_41873585"/>
      <w:bookmarkStart w:id="806" w:name="__UnoMark__3477_1689624541"/>
      <w:bookmarkStart w:id="807" w:name="ZOTERO_BREF_yU9Djpw9a1FQ"/>
      <w:bookmarkStart w:id="808" w:name="__UnoMark__5262_60934169"/>
      <w:bookmarkStart w:id="809" w:name="__UnoMark__5550_60934169"/>
      <w:bookmarkStart w:id="810" w:name="__UnoMark__5816_60934169"/>
      <w:bookmarkStart w:id="811" w:name="__UnoMark__6151_60934169"/>
      <w:bookmarkStart w:id="812" w:name="__UnoMark__6479_60934169"/>
      <w:bookmarkStart w:id="813" w:name="__UnoMark__6931_41873585"/>
      <w:bookmarkStart w:id="814" w:name="__UnoMark__5763_1443136783"/>
      <w:bookmarkStart w:id="815" w:name="__UnoMark__11833_722878254"/>
      <w:bookmarkStart w:id="816" w:name="__UnoMark__12501_722878254"/>
      <w:bookmarkStart w:id="817" w:name="__UnoMark__13182_722878254"/>
      <w:bookmarkStart w:id="818" w:name="__UnoMark__7130_1586897740"/>
      <w:bookmarkStart w:id="819" w:name="__UnoMark__14936_1661744717"/>
      <w:bookmarkStart w:id="820" w:name="__UnoMark__15810_1661744717"/>
      <w:bookmarkStart w:id="821" w:name="__UnoMark__16684_1661744717"/>
      <w:bookmarkStart w:id="822" w:name="__UnoMark__17575_1661744717"/>
      <w:bookmarkStart w:id="823" w:name="__UnoMark__17895_1661744717"/>
      <w:bookmarkStart w:id="824" w:name="__UnoMark__6793_60934169"/>
      <w:bookmarkStart w:id="825" w:name="__UnoMark__18471_1880123655"/>
      <w:bookmarkStart w:id="826" w:name="__UnoMark__17360_1880123655"/>
      <w:bookmarkStart w:id="827" w:name="__UnoMark__16313_1880123655"/>
      <w:bookmarkStart w:id="828" w:name="__UnoMark__10970_283745954"/>
      <w:bookmarkStart w:id="829" w:name="__UnoMark__10689_283745954"/>
      <w:bookmarkStart w:id="830" w:name="__UnoMark__9593_283745954"/>
      <w:bookmarkStart w:id="831" w:name="__UnoMark__8772_283745954"/>
      <w:bookmarkStart w:id="832" w:name="__UnoMark__9419_435217427"/>
      <w:bookmarkStart w:id="833" w:name="__UnoMark__25340_497913431"/>
      <w:bookmarkStart w:id="834" w:name="__UnoMark__24479_497913431"/>
      <w:bookmarkStart w:id="835" w:name="__UnoMark__23763_497913431"/>
      <w:bookmarkStart w:id="836" w:name="__UnoMark__23059_497913431"/>
      <w:bookmarkStart w:id="837" w:name="__UnoMark__22300_497913431"/>
      <w:bookmarkStart w:id="838" w:name="__UnoMark__7914_497913431"/>
      <w:bookmarkStart w:id="839" w:name="__UnoMark__3961_348219782"/>
      <w:bookmarkStart w:id="840" w:name="__UnoMark__4395_348219782"/>
      <w:bookmarkStart w:id="841" w:name="__UnoMark__12320_1244819659"/>
      <w:bookmarkStart w:id="842" w:name="__UnoMark__12751_1244819659"/>
      <w:bookmarkStart w:id="843" w:name="__UnoMark__12894_1244819659"/>
      <w:bookmarkStart w:id="844" w:name="__UnoMark__3677_599023520"/>
      <w:bookmarkStart w:id="845" w:name="__UnoMark__4194_599023520"/>
      <w:bookmarkStart w:id="846" w:name="__UnoMark__5505_1492540610"/>
      <w:bookmarkStart w:id="847" w:name="__UnoMark__6090_1492540610"/>
      <w:bookmarkStart w:id="848" w:name="__UnoMark__8940_1492540610"/>
      <w:bookmarkStart w:id="849" w:name="__UnoMark__9536_1492540610"/>
      <w:bookmarkStart w:id="850" w:name="__UnoMark__10135_1492540610"/>
      <w:bookmarkStart w:id="851" w:name="__UnoMark__10769_1492540610"/>
      <w:bookmarkStart w:id="852" w:name="__UnoMark__11389_1492540610"/>
      <w:bookmarkStart w:id="853" w:name="__UnoMark__27276_836371768"/>
      <w:bookmarkStart w:id="854" w:name="__UnoMark__28421_836371768"/>
      <w:bookmarkStart w:id="855" w:name="__UnoMark__29595_836371768"/>
      <w:bookmarkStart w:id="856" w:name="__UnoMark__30756_836371768"/>
      <w:bookmarkStart w:id="857" w:name="__UnoMark__40746_2025191570"/>
      <w:bookmarkStart w:id="858" w:name="__UnoMark__41962_2025191570"/>
      <w:bookmarkStart w:id="859" w:name="__UnoMark__43213_2025191570"/>
      <w:bookmarkStart w:id="860" w:name="__UnoMark__44473_2025191570"/>
      <w:r>
        <w:rPr>
          <w:rFonts w:eastAsia="Liberation Serif" w:cs="Liberation Serif"/>
          <w:i w:val="false"/>
          <w:iCs w:val="false"/>
          <w:u w:val="none"/>
          <w:lang w:val="en-US" w:eastAsia="ja-JP"/>
        </w:rPr>
        <w:t>(Alexander, 1979, p. 35)</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Pr>
          <w:rFonts w:eastAsia="Liberation Serif" w:cs="Liberation Serif"/>
          <w:i w:val="false"/>
          <w:iCs w:val="false"/>
          <w:u w:val="none"/>
          <w:lang w:val="en-US" w:eastAsia="ja-JP"/>
        </w:rPr>
        <w:t>.</w:t>
      </w:r>
    </w:p>
    <w:p>
      <w:pPr>
        <w:pStyle w:val="Normal"/>
        <w:rPr/>
      </w:pPr>
      <w:r>
        <w:rPr>
          <w:rFonts w:eastAsia="Liberation Serif" w:cs="Liberation Serif"/>
          <w:i/>
          <w:iCs/>
          <w:u w:val="none"/>
          <w:lang w:val="en-US" w:eastAsia="ja-JP"/>
        </w:rPr>
        <w:t>(v) Solution</w:t>
      </w:r>
      <w:r>
        <w:rPr>
          <w:rFonts w:eastAsia="Liberation Serif" w:cs="Liberation Serif"/>
          <w:i w:val="false"/>
          <w:iCs w:val="false"/>
          <w:u w:val="none"/>
          <w:lang w:val="en-US" w:eastAsia="ja-JP"/>
        </w:rPr>
        <w:t xml:space="preserve"> is a configuration of abstract spatial relational forces, given in a general and abstract way so that an individual can adapt it for local conditions.  "Most people say that they don’t like the fact that a pattern gives ‘one solution’ to a problem.  This is a serious misunderstanding.  Of course, there a thousands, millions, in fact, an infinite number of solutions to any given problem.  There is, of course, no way of capturing the details of all these solutions into a single statement.  It is always up to the creative imagination of the designer to find a new solution to the problem, which fits his particular solution.  But when it is properly expressed, a pattern defines an invariant field which captures all the possible solutions to a problem given, in the stated range of contexts" </w:t>
      </w:r>
      <w:bookmarkStart w:id="861" w:name="__UnoMark__23532_140394355"/>
      <w:bookmarkStart w:id="862" w:name="__UnoMark__17311_140394355"/>
      <w:bookmarkStart w:id="863" w:name="__UnoMark__15925_140394355"/>
      <w:bookmarkStart w:id="864" w:name="__UnoMark__6794_60934169"/>
      <w:bookmarkStart w:id="865" w:name="__UnoMark__6480_60934169"/>
      <w:bookmarkStart w:id="866" w:name="__UnoMark__6152_60934169"/>
      <w:bookmarkStart w:id="867" w:name="__UnoMark__5817_60934169"/>
      <w:bookmarkStart w:id="868" w:name="__UnoMark__5551_60934169"/>
      <w:bookmarkStart w:id="869" w:name="ZOTERO_BREF_eBkf9kWX6BR9"/>
      <w:bookmarkStart w:id="870" w:name="__UnoMark__3131_1689624541"/>
      <w:bookmarkStart w:id="871" w:name="__UnoMark__3478_1689624541"/>
      <w:bookmarkStart w:id="872" w:name="__UnoMark__4839_41873585"/>
      <w:bookmarkStart w:id="873" w:name="__UnoMark__5328_41873585"/>
      <w:bookmarkStart w:id="874" w:name="__UnoMark__5841_41873585"/>
      <w:bookmarkStart w:id="875" w:name="__UnoMark__6334_41873585"/>
      <w:bookmarkStart w:id="876" w:name="__UnoMark__6932_41873585"/>
      <w:bookmarkStart w:id="877" w:name="__UnoMark__5764_1443136783"/>
      <w:bookmarkStart w:id="878" w:name="__UnoMark__11834_722878254"/>
      <w:bookmarkStart w:id="879" w:name="__UnoMark__12502_722878254"/>
      <w:bookmarkStart w:id="880" w:name="__UnoMark__13183_722878254"/>
      <w:bookmarkStart w:id="881" w:name="__UnoMark__7131_1586897740"/>
      <w:bookmarkStart w:id="882" w:name="__UnoMark__14937_1661744717"/>
      <w:bookmarkStart w:id="883" w:name="__UnoMark__15811_1661744717"/>
      <w:bookmarkStart w:id="884" w:name="__UnoMark__16685_1661744717"/>
      <w:bookmarkStart w:id="885" w:name="__UnoMark__17576_1661744717"/>
      <w:bookmarkStart w:id="886" w:name="__UnoMark__17896_1661744717"/>
      <w:bookmarkStart w:id="887" w:name="__UnoMark__3962_348219782"/>
      <w:bookmarkStart w:id="888" w:name="__UnoMark__7410_41873585"/>
      <w:bookmarkStart w:id="889" w:name="__UnoMark__18472_1880123655"/>
      <w:bookmarkStart w:id="890" w:name="__UnoMark__17361_1880123655"/>
      <w:bookmarkStart w:id="891" w:name="__UnoMark__16314_1880123655"/>
      <w:bookmarkStart w:id="892" w:name="__UnoMark__10971_283745954"/>
      <w:bookmarkStart w:id="893" w:name="__UnoMark__10690_283745954"/>
      <w:bookmarkStart w:id="894" w:name="__UnoMark__9594_283745954"/>
      <w:bookmarkStart w:id="895" w:name="__UnoMark__8773_283745954"/>
      <w:bookmarkStart w:id="896" w:name="__UnoMark__9420_435217427"/>
      <w:bookmarkStart w:id="897" w:name="__UnoMark__25341_497913431"/>
      <w:bookmarkStart w:id="898" w:name="__UnoMark__24480_497913431"/>
      <w:bookmarkStart w:id="899" w:name="__UnoMark__23764_497913431"/>
      <w:bookmarkStart w:id="900" w:name="__UnoMark__23060_497913431"/>
      <w:bookmarkStart w:id="901" w:name="__UnoMark__22301_497913431"/>
      <w:bookmarkStart w:id="902" w:name="__UnoMark__4396_348219782"/>
      <w:bookmarkStart w:id="903" w:name="__UnoMark__11390_1492540610"/>
      <w:bookmarkStart w:id="904" w:name="__UnoMark__10770_1492540610"/>
      <w:bookmarkStart w:id="905" w:name="__UnoMark__10136_1492540610"/>
      <w:bookmarkStart w:id="906" w:name="__UnoMark__9537_1492540610"/>
      <w:bookmarkStart w:id="907" w:name="__UnoMark__8941_1492540610"/>
      <w:bookmarkStart w:id="908" w:name="__UnoMark__6091_1492540610"/>
      <w:bookmarkStart w:id="909" w:name="__UnoMark__5506_1492540610"/>
      <w:bookmarkStart w:id="910" w:name="__UnoMark__4195_599023520"/>
      <w:bookmarkStart w:id="911" w:name="__UnoMark__3678_599023520"/>
      <w:bookmarkStart w:id="912" w:name="__UnoMark__12895_1244819659"/>
      <w:bookmarkStart w:id="913" w:name="__UnoMark__12752_1244819659"/>
      <w:bookmarkStart w:id="914" w:name="__UnoMark__12321_1244819659"/>
      <w:bookmarkStart w:id="915" w:name="__UnoMark__7915_497913431"/>
      <w:bookmarkStart w:id="916" w:name="__UnoMark__27277_836371768"/>
      <w:bookmarkStart w:id="917" w:name="__UnoMark__28422_836371768"/>
      <w:bookmarkStart w:id="918" w:name="__UnoMark__29596_836371768"/>
      <w:bookmarkStart w:id="919" w:name="__UnoMark__30757_836371768"/>
      <w:bookmarkStart w:id="920" w:name="__UnoMark__40747_2025191570"/>
      <w:bookmarkStart w:id="921" w:name="__UnoMark__41963_2025191570"/>
      <w:bookmarkStart w:id="922" w:name="__UnoMark__43214_2025191570"/>
      <w:bookmarkStart w:id="923" w:name="__UnoMark__44474_2025191570"/>
      <w:r>
        <w:rPr>
          <w:rFonts w:eastAsia="Liberation Serif" w:cs="Liberation Serif"/>
          <w:b w:val="false"/>
          <w:i w:val="false"/>
          <w:iCs w:val="false"/>
          <w:caps w:val="false"/>
          <w:smallCaps w:val="false"/>
          <w:position w:val="0"/>
          <w:sz w:val="22"/>
          <w:sz w:val="22"/>
          <w:u w:val="none"/>
          <w:vertAlign w:val="baseline"/>
          <w:lang w:val="en-US" w:eastAsia="ja-JP"/>
        </w:rPr>
        <w:t>(Alexander, 1979, pp. 260</w:t>
      </w:r>
      <w:r>
        <w:rPr>
          <w:b w:val="false"/>
          <w:i w:val="false"/>
          <w:caps w:val="false"/>
          <w:smallCaps w:val="false"/>
          <w:position w:val="0"/>
          <w:sz w:val="22"/>
          <w:sz w:val="22"/>
          <w:u w:val="none"/>
          <w:vertAlign w:val="baseline"/>
        </w:rPr>
        <w:t>–261)</w:t>
      </w:r>
      <w:bookmarkStart w:id="924" w:name="__UnoMark__5356_60934169"/>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Pr>
          <w:rFonts w:eastAsia="Liberation Serif" w:cs="Liberation Serif"/>
          <w:i w:val="false"/>
          <w:iCs w:val="false"/>
          <w:u w:val="none"/>
          <w:lang w:val="en-US" w:eastAsia="ja-JP"/>
        </w:rPr>
        <w:t>.</w:t>
      </w:r>
    </w:p>
    <w:p>
      <w:pPr>
        <w:pStyle w:val="Normal"/>
        <w:rPr/>
      </w:pPr>
      <w:r>
        <w:rPr>
          <w:rFonts w:eastAsia="Liberation Serif" w:cs="Liberation Serif"/>
          <w:i/>
          <w:iCs/>
          <w:u w:val="none"/>
          <w:lang w:val="en-US" w:eastAsia="ja-JP"/>
        </w:rPr>
        <w:t>vi) Completions to smaller patterns</w:t>
      </w:r>
      <w:r>
        <w:rPr>
          <w:rFonts w:eastAsia="Liberation Serif" w:cs="Liberation Serif"/>
          <w:i w:val="false"/>
          <w:iCs w:val="false"/>
          <w:u w:val="none"/>
          <w:lang w:val="en-US" w:eastAsia="ja-JP"/>
        </w:rPr>
        <w:t xml:space="preserve"> list connections to patterns at smaller scales, once this level is in place.  "</w:t>
      </w:r>
      <w:r>
        <w:rPr>
          <w:rFonts w:eastAsia="Liberation Serif" w:cs="Liberation Serif"/>
          <w:i/>
          <w:iCs/>
          <w:u w:val="none"/>
          <w:lang w:val="en-US" w:eastAsia="ja-JP"/>
        </w:rPr>
        <w:t>When every pattern has its principal components given by the smaller patterns which lie immediately below it in the language, then the language is complete</w:t>
      </w:r>
      <w:r>
        <w:rPr>
          <w:rFonts w:eastAsia="Liberation Serif" w:cs="Liberation Serif"/>
          <w:i w:val="false"/>
          <w:iCs w:val="false"/>
          <w:u w:val="none"/>
          <w:lang w:val="en-US" w:eastAsia="ja-JP"/>
        </w:rPr>
        <w:t xml:space="preserve">.  [… Each] pattern itself gives birth to smaller patterns which, once again, through forces which must also be in harmony, gives birth to smaller patterns again created by the conditions which put the lower level forces into harmony" </w:t>
      </w:r>
      <w:bookmarkStart w:id="925" w:name="__UnoMark__23533_140394355"/>
      <w:bookmarkStart w:id="926" w:name="__UnoMark__17312_140394355"/>
      <w:bookmarkStart w:id="927" w:name="__UnoMark__15926_140394355"/>
      <w:bookmarkStart w:id="928" w:name="__UnoMark__6933_41873585"/>
      <w:bookmarkStart w:id="929" w:name="__UnoMark__6335_41873585"/>
      <w:bookmarkStart w:id="930" w:name="__UnoMark__5329_41873585"/>
      <w:bookmarkStart w:id="931" w:name="__UnoMark__4840_41873585"/>
      <w:bookmarkStart w:id="932" w:name="__UnoMark__3479_1689624541"/>
      <w:bookmarkStart w:id="933" w:name="__UnoMark__3132_1689624541"/>
      <w:bookmarkStart w:id="934" w:name="__UnoMark__5541_60934169"/>
      <w:bookmarkStart w:id="935" w:name="ZOTERO_BREF_tMdtdgBoQiSm"/>
      <w:bookmarkStart w:id="936" w:name="__UnoMark__5818_60934169"/>
      <w:bookmarkStart w:id="937" w:name="__UnoMark__6153_60934169"/>
      <w:bookmarkStart w:id="938" w:name="__UnoMark__6481_60934169"/>
      <w:bookmarkStart w:id="939" w:name="__UnoMark__5765_1443136783"/>
      <w:bookmarkStart w:id="940" w:name="__UnoMark__7411_41873585"/>
      <w:bookmarkStart w:id="941" w:name="__UnoMark__11835_722878254"/>
      <w:bookmarkStart w:id="942" w:name="__UnoMark__12503_722878254"/>
      <w:bookmarkStart w:id="943" w:name="__UnoMark__13184_722878254"/>
      <w:bookmarkStart w:id="944" w:name="__UnoMark__7132_1586897740"/>
      <w:bookmarkStart w:id="945" w:name="__UnoMark__14938_1661744717"/>
      <w:bookmarkStart w:id="946" w:name="__UnoMark__15812_1661744717"/>
      <w:bookmarkStart w:id="947" w:name="__UnoMark__16686_1661744717"/>
      <w:bookmarkStart w:id="948" w:name="__UnoMark__17577_1661744717"/>
      <w:bookmarkStart w:id="949" w:name="__UnoMark__17897_1661744717"/>
      <w:bookmarkStart w:id="950" w:name="__UnoMark__3963_348219782"/>
      <w:bookmarkStart w:id="951" w:name="__UnoMark__6795_60934169"/>
      <w:bookmarkStart w:id="952" w:name="__UnoMark__17362_1880123655"/>
      <w:bookmarkStart w:id="953" w:name="__UnoMark__16315_1880123655"/>
      <w:bookmarkStart w:id="954" w:name="__UnoMark__10972_283745954"/>
      <w:bookmarkStart w:id="955" w:name="__UnoMark__10691_283745954"/>
      <w:bookmarkStart w:id="956" w:name="__UnoMark__9595_283745954"/>
      <w:bookmarkStart w:id="957" w:name="__UnoMark__8774_283745954"/>
      <w:bookmarkStart w:id="958" w:name="__UnoMark__9421_435217427"/>
      <w:bookmarkStart w:id="959" w:name="__UnoMark__25342_497913431"/>
      <w:bookmarkStart w:id="960" w:name="__UnoMark__24481_497913431"/>
      <w:bookmarkStart w:id="961" w:name="__UnoMark__23765_497913431"/>
      <w:bookmarkStart w:id="962" w:name="__UnoMark__23061_497913431"/>
      <w:bookmarkStart w:id="963" w:name="__UnoMark__22302_497913431"/>
      <w:bookmarkStart w:id="964" w:name="__UnoMark__7916_497913431"/>
      <w:bookmarkStart w:id="965" w:name="__UnoMark__18473_1880123655"/>
      <w:bookmarkStart w:id="966" w:name="__UnoMark__10771_1492540610"/>
      <w:bookmarkStart w:id="967" w:name="__UnoMark__5842_41873585"/>
      <w:bookmarkStart w:id="968" w:name="__UnoMark__10137_1492540610"/>
      <w:bookmarkStart w:id="969" w:name="__UnoMark__9538_1492540610"/>
      <w:bookmarkStart w:id="970" w:name="__UnoMark__8942_1492540610"/>
      <w:bookmarkStart w:id="971" w:name="__UnoMark__6092_1492540610"/>
      <w:bookmarkStart w:id="972" w:name="__UnoMark__5507_1492540610"/>
      <w:bookmarkStart w:id="973" w:name="__UnoMark__4196_599023520"/>
      <w:bookmarkStart w:id="974" w:name="__UnoMark__3679_599023520"/>
      <w:bookmarkStart w:id="975" w:name="__UnoMark__12896_1244819659"/>
      <w:bookmarkStart w:id="976" w:name="__UnoMark__12753_1244819659"/>
      <w:bookmarkStart w:id="977" w:name="__UnoMark__12322_1244819659"/>
      <w:bookmarkStart w:id="978" w:name="__UnoMark__4397_348219782"/>
      <w:bookmarkStart w:id="979" w:name="__UnoMark__11391_1492540610"/>
      <w:bookmarkStart w:id="980" w:name="__UnoMark__27278_836371768"/>
      <w:bookmarkStart w:id="981" w:name="__UnoMark__28423_836371768"/>
      <w:bookmarkStart w:id="982" w:name="__UnoMark__29597_836371768"/>
      <w:bookmarkStart w:id="983" w:name="__UnoMark__30758_836371768"/>
      <w:bookmarkStart w:id="984" w:name="__UnoMark__40748_2025191570"/>
      <w:bookmarkStart w:id="985" w:name="__UnoMark__41964_2025191570"/>
      <w:bookmarkStart w:id="986" w:name="__UnoMark__43215_2025191570"/>
      <w:bookmarkStart w:id="987" w:name="__UnoMark__44475_2025191570"/>
      <w:r>
        <w:rPr>
          <w:rFonts w:eastAsia="Liberation Serif" w:cs="Liberation Serif"/>
          <w:i w:val="false"/>
          <w:iCs w:val="false"/>
          <w:u w:val="none"/>
          <w:lang w:val="en-US" w:eastAsia="ja-JP"/>
        </w:rPr>
        <w:t>(Alexander, 1979, p. 322)</w:t>
      </w:r>
      <w:bookmarkStart w:id="988" w:name="__UnoMark__5638_60934169"/>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Pr>
          <w:rFonts w:eastAsia="Liberation Serif" w:cs="Liberation Serif"/>
          <w:i w:val="false"/>
          <w:iCs w:val="false"/>
          <w:u w:val="none"/>
          <w:lang w:val="en-US" w:eastAsia="ja-JP"/>
        </w:rPr>
        <w:t>.</w:t>
      </w:r>
    </w:p>
    <w:p>
      <w:pPr>
        <w:pStyle w:val="Normal"/>
        <w:rPr/>
      </w:pPr>
      <w:r>
        <w:rPr>
          <w:lang w:val="en-GB"/>
        </w:rPr>
        <w:t>From 1968, this  pattern language approach was applied on prototypes of multi-service center buildings.</w:t>
      </w:r>
    </w:p>
    <w:p>
      <w:pPr>
        <w:pStyle w:val="Quote"/>
        <w:rPr/>
      </w:pPr>
      <w:r>
        <w:rPr>
          <w:color w:val="00000A"/>
          <w:lang w:val="en-GB"/>
        </w:rPr>
        <w:t xml:space="preserve">A multi-service center is a community facility, which provides a variety of special services to citizens.  It is intended especially to help solve some of the problems of low income communities.  [….]  Our report deals chiefly with the spatial organization; but since human and spatial organization cannot be separated, many of the specifications given in this report, go deeply into questions of human organization as well </w:t>
      </w:r>
      <w:bookmarkStart w:id="989" w:name="__UnoMark__23534_140394355"/>
      <w:bookmarkStart w:id="990" w:name="__UnoMark__17313_140394355"/>
      <w:bookmarkStart w:id="991" w:name="__UnoMark__15927_140394355"/>
      <w:bookmarkStart w:id="992" w:name="__UnoMark__1084_28308119411"/>
      <w:bookmarkStart w:id="993" w:name="__UnoMark__3153_1689624541"/>
      <w:bookmarkStart w:id="994" w:name="__UnoMark__2543_2050315779"/>
      <w:bookmarkStart w:id="995" w:name="__UnoMark__3806_1205087773"/>
      <w:bookmarkStart w:id="996" w:name="__UnoMark__3623_1205087773"/>
      <w:bookmarkStart w:id="997" w:name="ZOTERO_BREF_aDcxzFTL4e1e11"/>
      <w:bookmarkStart w:id="998" w:name="__UnoMark__4061_2127539303"/>
      <w:bookmarkStart w:id="999" w:name="__UnoMark__3986_2127539303"/>
      <w:bookmarkStart w:id="1000" w:name="__UnoMark__1014_28308119411"/>
      <w:bookmarkStart w:id="1001" w:name="__UnoMark__693_28308119411"/>
      <w:bookmarkStart w:id="1002" w:name="__UnoMark__4963_2060183323"/>
      <w:bookmarkStart w:id="1003" w:name="__UnoMark__5129_2060183323"/>
      <w:bookmarkStart w:id="1004" w:name="__UnoMark__5283_2060183323"/>
      <w:bookmarkStart w:id="1005" w:name="__UnoMark__4841_41873585"/>
      <w:bookmarkStart w:id="1006" w:name="__UnoMark__5450_2060183323"/>
      <w:bookmarkStart w:id="1007" w:name="__UnoMark__5840_2060183323"/>
      <w:bookmarkStart w:id="1008" w:name="__UnoMark__3501_1689624541"/>
      <w:bookmarkStart w:id="1009" w:name="__UnoMark__17898_1661744717"/>
      <w:bookmarkStart w:id="1010" w:name="__UnoMark__17578_1661744717"/>
      <w:bookmarkStart w:id="1011" w:name="__UnoMark__16687_1661744717"/>
      <w:bookmarkStart w:id="1012" w:name="__UnoMark__15813_1661744717"/>
      <w:bookmarkStart w:id="1013" w:name="__UnoMark__14939_1661744717"/>
      <w:bookmarkStart w:id="1014" w:name="__UnoMark__5658_2060183323"/>
      <w:bookmarkStart w:id="1015" w:name="__UnoMark__13185_722878254"/>
      <w:bookmarkStart w:id="1016" w:name="__UnoMark__12504_722878254"/>
      <w:bookmarkStart w:id="1017" w:name="__UnoMark__11836_722878254"/>
      <w:bookmarkStart w:id="1018" w:name="__UnoMark__5766_1443136783"/>
      <w:bookmarkStart w:id="1019" w:name="__UnoMark__7412_41873585"/>
      <w:bookmarkStart w:id="1020" w:name="__UnoMark__6934_41873585"/>
      <w:bookmarkStart w:id="1021" w:name="__UnoMark__6336_41873585"/>
      <w:bookmarkStart w:id="1022" w:name="__UnoMark__5843_41873585"/>
      <w:bookmarkStart w:id="1023" w:name="__UnoMark__5330_41873585"/>
      <w:bookmarkStart w:id="1024" w:name="__UnoMark__7133_1586897740"/>
      <w:bookmarkStart w:id="1025" w:name="__UnoMark__10772_1492540610"/>
      <w:bookmarkStart w:id="1026" w:name="__UnoMark__11392_1492540610"/>
      <w:bookmarkStart w:id="1027" w:name="__UnoMark__7917_497913431"/>
      <w:bookmarkStart w:id="1028" w:name="__UnoMark__22303_497913431"/>
      <w:bookmarkStart w:id="1029" w:name="__UnoMark__23062_497913431"/>
      <w:bookmarkStart w:id="1030" w:name="__UnoMark__23766_497913431"/>
      <w:bookmarkStart w:id="1031" w:name="__UnoMark__24482_497913431"/>
      <w:bookmarkStart w:id="1032" w:name="__UnoMark__25343_497913431"/>
      <w:bookmarkStart w:id="1033" w:name="__UnoMark__10138_1492540610"/>
      <w:bookmarkStart w:id="1034" w:name="__UnoMark__8775_283745954"/>
      <w:bookmarkStart w:id="1035" w:name="__UnoMark__9596_283745954"/>
      <w:bookmarkStart w:id="1036" w:name="__UnoMark__10692_283745954"/>
      <w:bookmarkStart w:id="1037" w:name="__UnoMark__10973_283745954"/>
      <w:bookmarkStart w:id="1038" w:name="__UnoMark__16316_1880123655"/>
      <w:bookmarkStart w:id="1039" w:name="__UnoMark__17363_1880123655"/>
      <w:bookmarkStart w:id="1040" w:name="__UnoMark__18474_1880123655"/>
      <w:bookmarkStart w:id="1041" w:name="__UnoMark__9422_435217427"/>
      <w:bookmarkStart w:id="1042" w:name="__UnoMark__6069_2060183323"/>
      <w:bookmarkStart w:id="1043" w:name="__UnoMark__5833_60934169"/>
      <w:bookmarkStart w:id="1044" w:name="__UnoMark__5277_60934169"/>
      <w:bookmarkStart w:id="1045" w:name="__UnoMark__5566_60934169"/>
      <w:bookmarkStart w:id="1046" w:name="__UnoMark__6169_60934169"/>
      <w:bookmarkStart w:id="1047" w:name="__UnoMark__6498_60934169"/>
      <w:bookmarkStart w:id="1048" w:name="__UnoMark__6812_60934169"/>
      <w:bookmarkStart w:id="1049" w:name="__UnoMark__3964_348219782"/>
      <w:bookmarkStart w:id="1050" w:name="__UnoMark__4398_348219782"/>
      <w:bookmarkStart w:id="1051" w:name="__UnoMark__12323_1244819659"/>
      <w:bookmarkStart w:id="1052" w:name="__UnoMark__12754_1244819659"/>
      <w:bookmarkStart w:id="1053" w:name="__UnoMark__12897_1244819659"/>
      <w:bookmarkStart w:id="1054" w:name="__UnoMark__3680_599023520"/>
      <w:bookmarkStart w:id="1055" w:name="__UnoMark__4197_599023520"/>
      <w:bookmarkStart w:id="1056" w:name="__UnoMark__5508_1492540610"/>
      <w:bookmarkStart w:id="1057" w:name="__UnoMark__6093_1492540610"/>
      <w:bookmarkStart w:id="1058" w:name="__UnoMark__8943_1492540610"/>
      <w:bookmarkStart w:id="1059" w:name="__UnoMark__9539_1492540610"/>
      <w:bookmarkStart w:id="1060" w:name="__UnoMark__27279_836371768"/>
      <w:bookmarkStart w:id="1061" w:name="__UnoMark__28424_836371768"/>
      <w:bookmarkStart w:id="1062" w:name="__UnoMark__29598_836371768"/>
      <w:bookmarkStart w:id="1063" w:name="__UnoMark__30759_836371768"/>
      <w:bookmarkStart w:id="1064" w:name="__UnoMark__40749_2025191570"/>
      <w:bookmarkStart w:id="1065" w:name="__UnoMark__41965_2025191570"/>
      <w:bookmarkStart w:id="1066" w:name="__UnoMark__43216_2025191570"/>
      <w:bookmarkStart w:id="1067" w:name="__UnoMark__44476_2025191570"/>
      <w:bookmarkStart w:id="1068" w:name="__UnoMark__697_28308119411"/>
      <w:bookmarkEnd w:id="1068"/>
      <w:r>
        <w:rPr>
          <w:color w:val="00000A"/>
          <w:lang w:val="en-GB"/>
        </w:rPr>
        <w:t>(Alexander et al., 1968, p. 1)</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Pr>
          <w:color w:val="00000A"/>
          <w:lang w:val="en-GB"/>
        </w:rPr>
        <w:t>.</w:t>
      </w:r>
    </w:p>
    <w:p>
      <w:pPr>
        <w:pStyle w:val="Normal"/>
        <w:rPr/>
      </w:pPr>
      <w:r>
        <w:rPr>
          <w:color w:val="00000A"/>
          <w:lang w:val="en-GB"/>
        </w:rPr>
        <w:t>To design the building, the pattern language was intended to give the designer three types of help:</w:t>
      </w:r>
    </w:p>
    <w:p>
      <w:pPr>
        <w:pStyle w:val="Quote"/>
        <w:rPr/>
      </w:pPr>
      <w:r>
        <w:rPr/>
        <w:t>1. It gives him the opportunity to use the patterns in the way which pays full respect to the unique features of each special building: the local peculiarities of the community, its special needs …</w:t>
      </w:r>
    </w:p>
    <w:p>
      <w:pPr>
        <w:pStyle w:val="Quote"/>
        <w:rPr/>
      </w:pPr>
      <w:r>
        <w:rPr/>
        <w:t>2. It tells him which patterns to consider first, and which ones to consider later.  Obviously he wants to consider the biggest ones … before he considers the details.</w:t>
      </w:r>
    </w:p>
    <w:p>
      <w:pPr>
        <w:pStyle w:val="Quote"/>
        <w:rPr/>
      </w:pPr>
      <w:r>
        <w:rPr/>
        <w:t xml:space="preserve">3. It tells him which patterns "go together" … so that he knows which ones to think about at the same time, and which ones separately </w:t>
      </w:r>
      <w:bookmarkStart w:id="1069" w:name="__UnoMark__23535_140394355"/>
      <w:bookmarkStart w:id="1070" w:name="__UnoMark__17314_140394355"/>
      <w:bookmarkStart w:id="1071" w:name="__UnoMark__15928_140394355"/>
      <w:bookmarkStart w:id="1072" w:name="__UnoMark__3987_2127539303"/>
      <w:bookmarkStart w:id="1073" w:name="__UnoMark__4842_41873585"/>
      <w:bookmarkStart w:id="1074" w:name="__UnoMark__3502_1689624541"/>
      <w:bookmarkStart w:id="1075" w:name="__UnoMark__3154_1689624541"/>
      <w:bookmarkStart w:id="1076" w:name="__UnoMark__2544_2050315779"/>
      <w:bookmarkStart w:id="1077" w:name="__UnoMark__3807_1205087773"/>
      <w:bookmarkStart w:id="1078" w:name="__UnoMark__3624_1205087773"/>
      <w:bookmarkStart w:id="1079" w:name="__UnoMark__4062_2127539303"/>
      <w:bookmarkStart w:id="1080" w:name="__UnoMark__1085_28308119411"/>
      <w:bookmarkStart w:id="1081" w:name="__UnoMark__1015_28308119411"/>
      <w:bookmarkStart w:id="1082" w:name="ZOTERO_BREF_zoqcHy3k0P1811"/>
      <w:bookmarkStart w:id="1083" w:name="__UnoMark__4964_2060183323"/>
      <w:bookmarkStart w:id="1084" w:name="__UnoMark__5130_2060183323"/>
      <w:bookmarkStart w:id="1085" w:name="__UnoMark__5284_2060183323"/>
      <w:bookmarkStart w:id="1086" w:name="__UnoMark__5451_2060183323"/>
      <w:bookmarkStart w:id="1087" w:name="__UnoMark__5844_41873585"/>
      <w:bookmarkStart w:id="1088" w:name="__UnoMark__5331_41873585"/>
      <w:bookmarkStart w:id="1089" w:name="__UnoMark__6070_2060183323"/>
      <w:bookmarkStart w:id="1090" w:name="__UnoMark__17899_1661744717"/>
      <w:bookmarkStart w:id="1091" w:name="__UnoMark__17579_1661744717"/>
      <w:bookmarkStart w:id="1092" w:name="__UnoMark__16688_1661744717"/>
      <w:bookmarkStart w:id="1093" w:name="__UnoMark__15814_1661744717"/>
      <w:bookmarkStart w:id="1094" w:name="__UnoMark__5841_2060183323"/>
      <w:bookmarkStart w:id="1095" w:name="__UnoMark__7134_1586897740"/>
      <w:bookmarkStart w:id="1096" w:name="__UnoMark__13186_722878254"/>
      <w:bookmarkStart w:id="1097" w:name="__UnoMark__12505_722878254"/>
      <w:bookmarkStart w:id="1098" w:name="__UnoMark__11837_722878254"/>
      <w:bookmarkStart w:id="1099" w:name="__UnoMark__5767_1443136783"/>
      <w:bookmarkStart w:id="1100" w:name="__UnoMark__7413_41873585"/>
      <w:bookmarkStart w:id="1101" w:name="__UnoMark__6935_41873585"/>
      <w:bookmarkStart w:id="1102" w:name="__UnoMark__6337_41873585"/>
      <w:bookmarkStart w:id="1103" w:name="__UnoMark__14940_1661744717"/>
      <w:bookmarkStart w:id="1104" w:name="__UnoMark__10773_1492540610"/>
      <w:bookmarkStart w:id="1105" w:name="__UnoMark__11393_1492540610"/>
      <w:bookmarkStart w:id="1106" w:name="__UnoMark__7918_497913431"/>
      <w:bookmarkStart w:id="1107" w:name="__UnoMark__22304_497913431"/>
      <w:bookmarkStart w:id="1108" w:name="__UnoMark__23063_497913431"/>
      <w:bookmarkStart w:id="1109" w:name="__UnoMark__23767_497913431"/>
      <w:bookmarkStart w:id="1110" w:name="__UnoMark__24483_497913431"/>
      <w:bookmarkStart w:id="1111" w:name="__UnoMark__25344_497913431"/>
      <w:bookmarkStart w:id="1112" w:name="__UnoMark__10139_1492540610"/>
      <w:bookmarkStart w:id="1113" w:name="__UnoMark__8776_283745954"/>
      <w:bookmarkStart w:id="1114" w:name="__UnoMark__9597_283745954"/>
      <w:bookmarkStart w:id="1115" w:name="__UnoMark__10693_283745954"/>
      <w:bookmarkStart w:id="1116" w:name="__UnoMark__10974_283745954"/>
      <w:bookmarkStart w:id="1117" w:name="__UnoMark__16317_1880123655"/>
      <w:bookmarkStart w:id="1118" w:name="__UnoMark__17364_1880123655"/>
      <w:bookmarkStart w:id="1119" w:name="__UnoMark__18475_1880123655"/>
      <w:bookmarkStart w:id="1120" w:name="__UnoMark__5659_2060183323"/>
      <w:bookmarkStart w:id="1121" w:name="__UnoMark__9423_435217427"/>
      <w:bookmarkStart w:id="1122" w:name="__UnoMark__5278_60934169"/>
      <w:bookmarkStart w:id="1123" w:name="__UnoMark__5567_60934169"/>
      <w:bookmarkStart w:id="1124" w:name="__UnoMark__5834_60934169"/>
      <w:bookmarkStart w:id="1125" w:name="__UnoMark__6170_60934169"/>
      <w:bookmarkStart w:id="1126" w:name="__UnoMark__6499_60934169"/>
      <w:bookmarkStart w:id="1127" w:name="__UnoMark__6813_60934169"/>
      <w:bookmarkStart w:id="1128" w:name="__UnoMark__3965_348219782"/>
      <w:bookmarkStart w:id="1129" w:name="__UnoMark__4399_348219782"/>
      <w:bookmarkStart w:id="1130" w:name="__UnoMark__12324_1244819659"/>
      <w:bookmarkStart w:id="1131" w:name="__UnoMark__12755_1244819659"/>
      <w:bookmarkStart w:id="1132" w:name="__UnoMark__12898_1244819659"/>
      <w:bookmarkStart w:id="1133" w:name="__UnoMark__3681_599023520"/>
      <w:bookmarkStart w:id="1134" w:name="__UnoMark__4198_599023520"/>
      <w:bookmarkStart w:id="1135" w:name="__UnoMark__5509_1492540610"/>
      <w:bookmarkStart w:id="1136" w:name="__UnoMark__6094_1492540610"/>
      <w:bookmarkStart w:id="1137" w:name="__UnoMark__8944_1492540610"/>
      <w:bookmarkStart w:id="1138" w:name="__UnoMark__9540_1492540610"/>
      <w:bookmarkStart w:id="1139" w:name="__UnoMark__27280_836371768"/>
      <w:bookmarkStart w:id="1140" w:name="__UnoMark__28425_836371768"/>
      <w:bookmarkStart w:id="1141" w:name="__UnoMark__29599_836371768"/>
      <w:bookmarkStart w:id="1142" w:name="__UnoMark__30760_836371768"/>
      <w:bookmarkStart w:id="1143" w:name="__UnoMark__40750_2025191570"/>
      <w:bookmarkStart w:id="1144" w:name="__UnoMark__41966_2025191570"/>
      <w:bookmarkStart w:id="1145" w:name="__UnoMark__43217_2025191570"/>
      <w:bookmarkStart w:id="1146" w:name="__UnoMark__44477_2025191570"/>
      <w:r>
        <w:rPr>
          <w:b w:val="false"/>
          <w:i w:val="false"/>
          <w:caps w:val="false"/>
          <w:smallCaps w:val="false"/>
          <w:position w:val="0"/>
          <w:sz w:val="22"/>
          <w:sz w:val="22"/>
          <w:u w:val="none"/>
          <w:vertAlign w:val="baseline"/>
        </w:rPr>
        <w:t>(Alexander et al., 1968, pp. 17–19)</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Pr/>
        <w:t>.</w:t>
      </w:r>
    </w:p>
    <w:p>
      <w:pPr>
        <w:pStyle w:val="Normal"/>
        <w:bidi w:val="0"/>
        <w:ind w:left="198" w:right="0" w:hanging="0"/>
        <w:jc w:val="left"/>
        <w:rPr/>
      </w:pPr>
      <w:r>
        <mc:AlternateContent>
          <mc:Choice Requires="wps">
            <w:drawing>
              <wp:anchor behindDoc="0" distT="0" distB="0" distL="0" distR="0" simplePos="0" locked="0" layoutInCell="1" allowOverlap="1" relativeHeight="3">
                <wp:simplePos x="0" y="0"/>
                <wp:positionH relativeFrom="column">
                  <wp:align>left</wp:align>
                </wp:positionH>
                <wp:positionV relativeFrom="paragraph">
                  <wp:posOffset>635</wp:posOffset>
                </wp:positionV>
                <wp:extent cx="3797300" cy="5117465"/>
                <wp:effectExtent l="0" t="0" r="0" b="0"/>
                <wp:wrapSquare wrapText="largest"/>
                <wp:docPr id="1" name="Frame1"/>
                <a:graphic xmlns:a="http://schemas.openxmlformats.org/drawingml/2006/main">
                  <a:graphicData uri="http://schemas.microsoft.com/office/word/2010/wordprocessingShape">
                    <wps:wsp>
                      <wps:cNvSpPr/>
                      <wps:spPr>
                        <a:xfrm>
                          <a:off x="0" y="0"/>
                          <a:ext cx="3796560" cy="5116680"/>
                        </a:xfrm>
                        <a:prstGeom prst="rect">
                          <a:avLst/>
                        </a:prstGeom>
                        <a:noFill/>
                        <a:ln>
                          <a:noFill/>
                        </a:ln>
                      </wps:spPr>
                      <wps:style>
                        <a:lnRef idx="0"/>
                        <a:fillRef idx="0"/>
                        <a:effectRef idx="0"/>
                        <a:fontRef idx="minor"/>
                      </wps:style>
                      <wps:txbx>
                        <w:txbxContent>
                          <w:p>
                            <w:pPr>
                              <w:pStyle w:val="Caption1"/>
                              <w:keepNext/>
                              <w:spacing w:lineRule="auto" w:line="240" w:before="120" w:after="120"/>
                              <w:jc w:val="center"/>
                              <w:rPr/>
                            </w:pPr>
                            <w:r>
                              <w:rPr>
                                <w:color w:val="000000"/>
                              </w:rPr>
                              <w:t xml:space="preserve">Figure </w:t>
                            </w:r>
                            <w:r>
                              <w:rPr>
                                <w:color w:val="000000"/>
                              </w:rPr>
                              <w:fldChar w:fldCharType="begin"/>
                            </w:r>
                            <w:r>
                              <w:instrText> SEQ Figure \* ARABIC </w:instrText>
                            </w:r>
                            <w:r>
                              <w:fldChar w:fldCharType="separate"/>
                            </w:r>
                            <w:r>
                              <w:t>1</w:t>
                            </w:r>
                            <w:r>
                              <w:fldChar w:fldCharType="end"/>
                            </w:r>
                            <w:r>
                              <w:rPr>
                                <w:color w:val="000000"/>
                              </w:rPr>
                              <w:t>: Pattern language cascade (Alexander et al., 1968, p. 18)</w:t>
                            </w:r>
                          </w:p>
                          <w:p>
                            <w:pPr>
                              <w:pStyle w:val="Caption1"/>
                              <w:spacing w:lineRule="auto" w:line="240" w:before="120" w:after="120"/>
                              <w:jc w:val="center"/>
                              <w:rPr/>
                            </w:pPr>
                            <w:r>
                              <w:rPr/>
                              <w:drawing>
                                <wp:inline distT="0" distB="0" distL="0" distR="0">
                                  <wp:extent cx="3794125" cy="460057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3"/>
                                          <a:stretch>
                                            <a:fillRect/>
                                          </a:stretch>
                                        </pic:blipFill>
                                        <pic:spPr bwMode="auto">
                                          <a:xfrm>
                                            <a:off x="0" y="0"/>
                                            <a:ext cx="3794125" cy="4600575"/>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Frame1" stroked="f" style="position:absolute;margin-left:0pt;margin-top:0.05pt;width:298.9pt;height:402.85pt;mso-position-horizontal:left">
                <w10:wrap type="square"/>
                <v:fill o:detectmouseclick="t" on="false"/>
                <v:stroke color="#3465a4" joinstyle="round" endcap="flat"/>
                <v:textbox>
                  <w:txbxContent>
                    <w:p>
                      <w:pPr>
                        <w:pStyle w:val="Caption1"/>
                        <w:keepNext/>
                        <w:spacing w:lineRule="auto" w:line="240" w:before="120" w:after="120"/>
                        <w:jc w:val="center"/>
                        <w:rPr/>
                      </w:pPr>
                      <w:r>
                        <w:rPr>
                          <w:color w:val="000000"/>
                        </w:rPr>
                        <w:t xml:space="preserve">Figure </w:t>
                      </w:r>
                      <w:r>
                        <w:rPr>
                          <w:color w:val="000000"/>
                        </w:rPr>
                        <w:fldChar w:fldCharType="begin"/>
                      </w:r>
                      <w:r>
                        <w:instrText> SEQ Figure \* ARABIC </w:instrText>
                      </w:r>
                      <w:r>
                        <w:fldChar w:fldCharType="separate"/>
                      </w:r>
                      <w:r>
                        <w:t>1</w:t>
                      </w:r>
                      <w:r>
                        <w:fldChar w:fldCharType="end"/>
                      </w:r>
                      <w:r>
                        <w:rPr>
                          <w:color w:val="000000"/>
                        </w:rPr>
                        <w:t>: Pattern language cascade (Alexander et al., 1968, p. 18)</w:t>
                      </w:r>
                    </w:p>
                    <w:p>
                      <w:pPr>
                        <w:pStyle w:val="Caption1"/>
                        <w:spacing w:lineRule="auto" w:line="240" w:before="120" w:after="120"/>
                        <w:jc w:val="center"/>
                        <w:rPr/>
                      </w:pPr>
                      <w:r>
                        <w:rPr/>
                        <w:drawing>
                          <wp:inline distT="0" distB="0" distL="0" distR="0">
                            <wp:extent cx="3794125" cy="460057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tretch>
                                      <a:fillRect/>
                                    </a:stretch>
                                  </pic:blipFill>
                                  <pic:spPr bwMode="auto">
                                    <a:xfrm>
                                      <a:off x="0" y="0"/>
                                      <a:ext cx="3794125" cy="4600575"/>
                                    </a:xfrm>
                                    <a:prstGeom prst="rect">
                                      <a:avLst/>
                                    </a:prstGeom>
                                  </pic:spPr>
                                </pic:pic>
                              </a:graphicData>
                            </a:graphic>
                          </wp:inline>
                        </w:drawing>
                      </w:r>
                    </w:p>
                  </w:txbxContent>
                </v:textbox>
              </v:rect>
            </w:pict>
          </mc:Fallback>
        </mc:AlternateContent>
      </w:r>
      <w:r>
        <w:rPr/>
        <w:t>The hypothetical community for Hunts Point was described as:  40,000 people; strong community corporation; large block worker program; 9 to 12 services; site open to three sides; near major intersection and transit station.</w:t>
      </w:r>
    </w:p>
    <w:p>
      <w:pPr>
        <w:pStyle w:val="Normal"/>
        <w:bidi w:val="0"/>
        <w:spacing w:before="0" w:after="0"/>
        <w:ind w:left="198" w:right="0" w:hanging="0"/>
        <w:jc w:val="left"/>
        <w:rPr/>
      </w:pPr>
      <w:r>
        <w:rPr>
          <w:rFonts w:eastAsia="Liberation Serif" w:cs="Liberation Serif"/>
          <w:i w:val="false"/>
          <w:iCs w:val="false"/>
          <w:u w:val="none"/>
          <w:lang w:val="en-US" w:eastAsia="ja-JP"/>
        </w:rPr>
        <w:t xml:space="preserve">From the 64 patterns published in the book, the Hunts Point prototype focused on 29, presented in seven clusters:  </w:t>
      </w:r>
    </w:p>
    <w:p>
      <w:pPr>
        <w:pStyle w:val="Normal"/>
        <w:bidi w:val="0"/>
        <w:spacing w:before="0" w:after="0"/>
        <w:ind w:left="482" w:right="0" w:hanging="283"/>
        <w:jc w:val="left"/>
        <w:rPr/>
      </w:pPr>
      <w:r>
        <w:rPr>
          <w:rFonts w:eastAsia="Liberation Serif" w:cs="Liberation Serif"/>
          <w:i w:val="false"/>
          <w:iCs w:val="false"/>
          <w:u w:val="none"/>
          <w:lang w:val="en-US" w:eastAsia="ja-JP"/>
        </w:rPr>
        <w:t>A, descending from 1</w:t>
      </w:r>
      <w:r>
        <w:rPr>
          <w:rFonts w:eastAsia="Liberation Serif" w:cs="Liberation Serif"/>
          <w:i/>
          <w:iCs/>
          <w:u w:val="none"/>
          <w:lang w:val="en-US" w:eastAsia="ja-JP"/>
        </w:rPr>
        <w:t>. Small target areas</w:t>
      </w:r>
      <w:r>
        <w:rPr>
          <w:rFonts w:eastAsia="Liberation Serif" w:cs="Liberation Serif"/>
          <w:i w:val="false"/>
          <w:iCs w:val="false"/>
          <w:u w:val="none"/>
          <w:lang w:val="en-US" w:eastAsia="ja-JP"/>
        </w:rPr>
        <w:t xml:space="preserve">; </w:t>
      </w:r>
    </w:p>
    <w:p>
      <w:pPr>
        <w:pStyle w:val="Normal"/>
        <w:bidi w:val="0"/>
        <w:spacing w:before="0" w:after="0"/>
        <w:ind w:left="482" w:right="0" w:hanging="283"/>
        <w:jc w:val="left"/>
        <w:rPr/>
      </w:pPr>
      <w:r>
        <w:rPr>
          <w:rFonts w:eastAsia="Liberation Serif" w:cs="Liberation Serif"/>
          <w:i w:val="false"/>
          <w:iCs w:val="false"/>
          <w:u w:val="none"/>
          <w:lang w:val="en-US" w:eastAsia="ja-JP"/>
        </w:rPr>
        <w:t xml:space="preserve">B, as </w:t>
      </w:r>
      <w:r>
        <w:rPr>
          <w:rFonts w:eastAsia="Liberation Serif" w:cs="Liberation Serif"/>
          <w:i/>
          <w:iCs/>
          <w:u w:val="none"/>
          <w:lang w:val="en-US" w:eastAsia="ja-JP"/>
        </w:rPr>
        <w:t>16. Necklace</w:t>
      </w:r>
      <w:r>
        <w:rPr>
          <w:rFonts w:eastAsia="Liberation Serif" w:cs="Liberation Serif"/>
          <w:i w:val="false"/>
          <w:iCs w:val="false"/>
          <w:u w:val="none"/>
          <w:lang w:val="en-US" w:eastAsia="ja-JP"/>
        </w:rPr>
        <w:t xml:space="preserve">; </w:t>
      </w:r>
    </w:p>
    <w:p>
      <w:pPr>
        <w:pStyle w:val="Normal"/>
        <w:bidi w:val="0"/>
        <w:spacing w:before="0" w:after="0"/>
        <w:ind w:left="482" w:right="0" w:hanging="283"/>
        <w:jc w:val="left"/>
        <w:rPr/>
      </w:pPr>
      <w:r>
        <w:rPr>
          <w:rFonts w:eastAsia="Liberation Serif" w:cs="Liberation Serif"/>
          <w:i w:val="false"/>
          <w:iCs w:val="false"/>
          <w:u w:val="none"/>
          <w:lang w:val="en-US" w:eastAsia="ja-JP"/>
        </w:rPr>
        <w:t>C, descending from 4</w:t>
      </w:r>
      <w:r>
        <w:rPr>
          <w:rFonts w:eastAsia="Liberation Serif" w:cs="Liberation Serif"/>
          <w:i/>
          <w:iCs/>
          <w:u w:val="none"/>
          <w:lang w:val="en-US" w:eastAsia="ja-JP"/>
        </w:rPr>
        <w:t>. Community territory</w:t>
      </w:r>
      <w:r>
        <w:rPr>
          <w:rFonts w:eastAsia="Liberation Serif" w:cs="Liberation Serif"/>
          <w:i w:val="false"/>
          <w:iCs w:val="false"/>
          <w:u w:val="none"/>
          <w:lang w:val="en-US" w:eastAsia="ja-JP"/>
        </w:rPr>
        <w:t xml:space="preserve">; </w:t>
      </w:r>
    </w:p>
    <w:p>
      <w:pPr>
        <w:pStyle w:val="Normal"/>
        <w:bidi w:val="0"/>
        <w:spacing w:before="0" w:after="0"/>
        <w:ind w:left="482" w:right="0" w:hanging="283"/>
        <w:jc w:val="left"/>
        <w:rPr/>
      </w:pPr>
      <w:r>
        <w:rPr>
          <w:rFonts w:eastAsia="Liberation Serif" w:cs="Liberation Serif"/>
          <w:i w:val="false"/>
          <w:iCs w:val="false"/>
          <w:u w:val="none"/>
          <w:lang w:val="en-US" w:eastAsia="ja-JP"/>
        </w:rPr>
        <w:t xml:space="preserve">D, descending from </w:t>
      </w:r>
      <w:r>
        <w:rPr>
          <w:rFonts w:eastAsia="Liberation Serif" w:cs="Liberation Serif"/>
          <w:i/>
          <w:iCs/>
          <w:u w:val="none"/>
          <w:lang w:val="en-US" w:eastAsia="ja-JP"/>
        </w:rPr>
        <w:t>12. Locked and unlocked</w:t>
      </w:r>
      <w:r>
        <w:rPr>
          <w:rFonts w:eastAsia="Liberation Serif" w:cs="Liberation Serif"/>
          <w:i w:val="false"/>
          <w:iCs w:val="false"/>
          <w:u w:val="none"/>
          <w:lang w:val="en-US" w:eastAsia="ja-JP"/>
        </w:rPr>
        <w:t xml:space="preserve">; </w:t>
      </w:r>
    </w:p>
    <w:p>
      <w:pPr>
        <w:pStyle w:val="Normal"/>
        <w:bidi w:val="0"/>
        <w:spacing w:before="0" w:after="0"/>
        <w:ind w:left="482" w:right="0" w:hanging="283"/>
        <w:jc w:val="left"/>
        <w:rPr/>
      </w:pPr>
      <w:r>
        <w:rPr>
          <w:rFonts w:eastAsia="Liberation Serif" w:cs="Liberation Serif"/>
          <w:i w:val="false"/>
          <w:iCs w:val="false"/>
          <w:u w:val="none"/>
          <w:lang w:val="en-US" w:eastAsia="ja-JP"/>
        </w:rPr>
        <w:t xml:space="preserve">E, descending from </w:t>
      </w:r>
      <w:r>
        <w:rPr>
          <w:rFonts w:eastAsia="Liberation Serif" w:cs="Liberation Serif"/>
          <w:i/>
          <w:iCs/>
          <w:u w:val="none"/>
          <w:lang w:val="en-US" w:eastAsia="ja-JP"/>
        </w:rPr>
        <w:t>10. Open to street</w:t>
      </w:r>
      <w:r>
        <w:rPr>
          <w:rFonts w:eastAsia="Liberation Serif" w:cs="Liberation Serif"/>
          <w:i w:val="false"/>
          <w:iCs w:val="false"/>
          <w:u w:val="none"/>
          <w:lang w:val="en-US" w:eastAsia="ja-JP"/>
        </w:rPr>
        <w:t xml:space="preserve">;  </w:t>
      </w:r>
    </w:p>
    <w:p>
      <w:pPr>
        <w:pStyle w:val="Normal"/>
        <w:bidi w:val="0"/>
        <w:spacing w:before="0" w:after="0"/>
        <w:ind w:left="482" w:right="0" w:hanging="283"/>
        <w:jc w:val="left"/>
        <w:rPr/>
      </w:pPr>
      <w:r>
        <w:rPr>
          <w:rFonts w:eastAsia="Liberation Serif" w:cs="Liberation Serif"/>
          <w:i w:val="false"/>
          <w:iCs w:val="false"/>
          <w:u w:val="none"/>
          <w:lang w:val="en-US" w:eastAsia="ja-JP"/>
        </w:rPr>
        <w:t>F, descending from 19</w:t>
      </w:r>
      <w:r>
        <w:rPr>
          <w:rFonts w:eastAsia="Liberation Serif" w:cs="Liberation Serif"/>
          <w:i/>
          <w:iCs/>
          <w:u w:val="none"/>
          <w:lang w:val="en-US" w:eastAsia="ja-JP"/>
        </w:rPr>
        <w:t>. Core service agencies;</w:t>
      </w:r>
      <w:r>
        <w:rPr>
          <w:rFonts w:eastAsia="Liberation Serif" w:cs="Liberation Serif"/>
          <w:i w:val="false"/>
          <w:iCs w:val="false"/>
          <w:u w:val="none"/>
          <w:lang w:val="en-US" w:eastAsia="ja-JP"/>
        </w:rPr>
        <w:t xml:space="preserve"> and </w:t>
      </w:r>
    </w:p>
    <w:p>
      <w:pPr>
        <w:pStyle w:val="Normal"/>
        <w:bidi w:val="0"/>
        <w:ind w:left="482" w:right="0" w:hanging="283"/>
        <w:jc w:val="left"/>
        <w:rPr/>
      </w:pPr>
      <w:r>
        <w:rPr>
          <w:rFonts w:eastAsia="Liberation Serif" w:cs="Liberation Serif"/>
          <w:i w:val="false"/>
          <w:iCs w:val="false"/>
          <w:u w:val="none"/>
          <w:lang w:val="en-US" w:eastAsia="ja-JP"/>
        </w:rPr>
        <w:t xml:space="preserve">G, descending from </w:t>
      </w:r>
      <w:r>
        <w:rPr>
          <w:rFonts w:eastAsia="Liberation Serif" w:cs="Liberation Serif"/>
          <w:i/>
          <w:iCs/>
          <w:u w:val="none"/>
          <w:lang w:val="en-US" w:eastAsia="ja-JP"/>
        </w:rPr>
        <w:t>20. Activity pockets</w:t>
      </w:r>
      <w:r>
        <w:rPr>
          <w:rFonts w:eastAsia="Liberation Serif" w:cs="Liberation Serif"/>
          <w:i w:val="false"/>
          <w:iCs w:val="false"/>
          <w:u w:val="none"/>
          <w:lang w:val="en-US" w:eastAsia="ja-JP"/>
        </w:rPr>
        <w:t>.</w:t>
      </w:r>
    </w:p>
    <w:p>
      <w:pPr>
        <w:pStyle w:val="Normal"/>
        <w:bidi w:val="0"/>
        <w:ind w:left="0" w:right="0" w:hanging="0"/>
        <w:jc w:val="left"/>
        <w:rPr/>
      </w:pPr>
      <w:r>
        <w:rPr>
          <w:rFonts w:eastAsia="Liberation Serif" w:cs="Liberation Serif"/>
          <w:i w:val="false"/>
          <w:iCs w:val="false"/>
          <w:u w:val="none"/>
          <w:lang w:val="en-US" w:eastAsia="ja-JP"/>
        </w:rPr>
        <w:t>This pattern language format has been applied in towns, buildings and construction.  Variations of this format have also been applied in the architecture and design of software.</w:t>
      </w:r>
    </w:p>
    <w:p>
      <w:pPr>
        <w:pStyle w:val="Heading2"/>
        <w:numPr>
          <w:ilvl w:val="1"/>
          <w:numId w:val="2"/>
        </w:numPr>
        <w:rPr/>
      </w:pPr>
      <w:r>
        <w:rPr>
          <w:lang w:val="en-GB"/>
        </w:rPr>
        <w:t xml:space="preserve">Try services as voices on issues, affording </w:t>
      </w:r>
      <w:r>
        <w:rPr>
          <w:lang w:val="en-GB"/>
        </w:rPr>
        <w:t>value(s)</w:t>
      </w:r>
      <w:r>
        <w:rPr>
          <w:lang w:val="en-GB"/>
        </w:rPr>
        <w:t>, spatio-temporal frames</w:t>
      </w:r>
    </w:p>
    <w:p>
      <w:pPr>
        <w:pStyle w:val="Normal"/>
        <w:rPr/>
      </w:pPr>
      <w:r>
        <w:rPr>
          <w:color w:val="00000A"/>
          <w:lang w:val="en-US" w:eastAsia="ja-JP"/>
        </w:rPr>
        <w:t xml:space="preserve">Let’s shift our orientation from production systems where a provider produces outputs and outcomes, i.e. de-emphasizing the builders of a multi-service center in 1968, and the organization that has delivered services for decades following.  As an alternative, taking the service systems perspective elevates the roles of clients, beneficiaries and other stakeholders.  As a simile, let’s reorient from the dominance of </w:t>
      </w:r>
      <w:r>
        <w:rPr>
          <w:i/>
          <w:iCs/>
          <w:color w:val="00000A"/>
          <w:lang w:val="en-US" w:eastAsia="ja-JP"/>
        </w:rPr>
        <w:t>push</w:t>
      </w:r>
      <w:r>
        <w:rPr>
          <w:color w:val="00000A"/>
          <w:lang w:val="en-US" w:eastAsia="ja-JP"/>
        </w:rPr>
        <w:t xml:space="preserve">, rebalancing towards </w:t>
      </w:r>
      <w:r>
        <w:rPr>
          <w:i/>
          <w:iCs/>
          <w:color w:val="00000A"/>
          <w:lang w:val="en-US" w:eastAsia="ja-JP"/>
        </w:rPr>
        <w:t>pull</w:t>
      </w:r>
      <w:r>
        <w:rPr>
          <w:color w:val="00000A"/>
          <w:lang w:val="en-US" w:eastAsia="ja-JP"/>
        </w:rPr>
        <w:t>.</w:t>
      </w:r>
    </w:p>
    <w:p>
      <w:pPr>
        <w:pStyle w:val="Normal"/>
        <w:rPr/>
      </w:pPr>
      <w:r>
        <w:rPr>
          <w:color w:val="00000A"/>
          <w:lang w:val="en-US" w:eastAsia="ja-JP"/>
        </w:rPr>
        <w:t>In addition, let’s bring the multi-service center offerings into the 21</w:t>
      </w:r>
      <w:r>
        <w:rPr>
          <w:color w:val="00000A"/>
          <w:vertAlign w:val="superscript"/>
          <w:lang w:val="en-US" w:eastAsia="ja-JP"/>
        </w:rPr>
        <w:t>st</w:t>
      </w:r>
      <w:r>
        <w:rPr>
          <w:color w:val="00000A"/>
          <w:lang w:val="en-US" w:eastAsia="ja-JP"/>
        </w:rPr>
        <w:t xml:space="preserve"> century by assuming that features may be accessible not only in physical space, but possibly also as electronic offerings over the Internet.  Table 2 lists three straw man proto-patterns that illustrate ways in which a pattern might be oriented differently.</w:t>
      </w:r>
    </w:p>
    <w:p>
      <w:pPr>
        <w:pStyle w:val="Caption1"/>
        <w:rPr/>
      </w:pPr>
      <w:r>
        <w:rPr/>
        <w:t xml:space="preserve">Table </w:t>
      </w:r>
      <w:r>
        <w:rPr/>
        <w:fldChar w:fldCharType="begin"/>
      </w:r>
      <w:r>
        <w:instrText> SEQ Table \* ARABIC </w:instrText>
      </w:r>
      <w:r>
        <w:fldChar w:fldCharType="separate"/>
      </w:r>
      <w:r>
        <w:t>2</w:t>
      </w:r>
      <w:r>
        <w:fldChar w:fldCharType="end"/>
      </w:r>
      <w:r>
        <w:rPr/>
        <w:t>: Straw man proto-patterns, oriented towards service systems</w:t>
      </w:r>
    </w:p>
    <w:tbl>
      <w:tblPr>
        <w:tblW w:w="9065" w:type="dxa"/>
        <w:jc w:val="left"/>
        <w:tblInd w:w="-5" w:type="dxa"/>
        <w:tblBorders>
          <w:left w:val="single" w:sz="2" w:space="0" w:color="B3B3B3"/>
          <w:bottom w:val="single" w:sz="2" w:space="0" w:color="B3B3B3"/>
          <w:insideH w:val="single" w:sz="2" w:space="0" w:color="B3B3B3"/>
        </w:tblBorders>
        <w:tblCellMar>
          <w:top w:w="0" w:type="dxa"/>
          <w:left w:w="-2" w:type="dxa"/>
          <w:bottom w:w="0" w:type="dxa"/>
          <w:right w:w="0" w:type="dxa"/>
        </w:tblCellMar>
      </w:tblPr>
      <w:tblGrid>
        <w:gridCol w:w="1703"/>
        <w:gridCol w:w="2712"/>
        <w:gridCol w:w="2386"/>
        <w:gridCol w:w="2263"/>
      </w:tblGrid>
      <w:tr>
        <w:trPr>
          <w:trHeight w:val="232" w:hRule="atLeast"/>
          <w:cantSplit w:val="true"/>
        </w:trPr>
        <w:tc>
          <w:tcPr>
            <w:tcW w:w="1703" w:type="dxa"/>
            <w:tcBorders>
              <w:left w:val="single" w:sz="2" w:space="0" w:color="B3B3B3"/>
              <w:bottom w:val="single" w:sz="2" w:space="0" w:color="B3B3B3"/>
              <w:insideH w:val="single" w:sz="2" w:space="0" w:color="B3B3B3"/>
            </w:tcBorders>
            <w:shd w:fill="auto" w:val="clear"/>
            <w:tcMar>
              <w:left w:w="-2" w:type="dxa"/>
            </w:tcMar>
          </w:tcPr>
          <w:p>
            <w:pPr>
              <w:pStyle w:val="TableContents"/>
              <w:jc w:val="left"/>
              <w:rPr/>
            </w:pPr>
            <w:r>
              <w:rPr/>
              <w:t>(i) Pattern label</w:t>
            </w:r>
          </w:p>
        </w:tc>
        <w:tc>
          <w:tcPr>
            <w:tcW w:w="2712" w:type="dxa"/>
            <w:tcBorders>
              <w:left w:val="single" w:sz="2" w:space="0" w:color="B3B3B3"/>
              <w:bottom w:val="single" w:sz="2" w:space="0" w:color="B3B3B3"/>
              <w:insideH w:val="single" w:sz="2" w:space="0" w:color="B3B3B3"/>
            </w:tcBorders>
            <w:shd w:fill="auto" w:val="clear"/>
            <w:tcMar>
              <w:left w:w="-2" w:type="dxa"/>
            </w:tcMar>
          </w:tcPr>
          <w:p>
            <w:pPr>
              <w:pStyle w:val="TableContents"/>
              <w:jc w:val="left"/>
              <w:rPr/>
            </w:pPr>
            <w:r>
              <w:rPr/>
              <w:t>Tapping into the grapevine</w:t>
            </w:r>
          </w:p>
        </w:tc>
        <w:tc>
          <w:tcPr>
            <w:tcW w:w="2386"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Signing in for services</w:t>
            </w:r>
          </w:p>
        </w:tc>
        <w:tc>
          <w:tcPr>
            <w:tcW w:w="2263" w:type="dxa"/>
            <w:tcBorders>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Minding children</w:t>
            </w:r>
          </w:p>
        </w:tc>
      </w:tr>
      <w:tr>
        <w:trPr>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271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386"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263"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r>
      <w:tr>
        <w:trPr>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Normal"/>
              <w:spacing w:before="0" w:after="200"/>
              <w:jc w:val="left"/>
              <w:rPr/>
            </w:pPr>
            <w:r>
              <w:rPr>
                <w:b w:val="false"/>
                <w:bCs w:val="false"/>
              </w:rPr>
              <w:t xml:space="preserve">(ii) Voices on issues </w:t>
              <w:br/>
              <w:t>(who and what)</w:t>
            </w:r>
          </w:p>
        </w:tc>
        <w:tc>
          <w:tcPr>
            <w:tcW w:w="271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(a) For a client, what jobs and training are available?</w:t>
            </w:r>
          </w:p>
          <w:p>
            <w:pPr>
              <w:pStyle w:val="TableContents"/>
              <w:jc w:val="left"/>
              <w:rPr/>
            </w:pPr>
            <w:r>
              <w:rPr>
                <w:b w:val="false"/>
                <w:bCs w:val="false"/>
              </w:rPr>
              <w:t>(b) For a neighbour, in what ways can we share and update community news?</w:t>
            </w:r>
          </w:p>
        </w:tc>
        <w:tc>
          <w:tcPr>
            <w:tcW w:w="4649" w:type="dxa"/>
            <w:gridSpan w:val="2"/>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(a) For a client, what services are available to me, now and on appointment?</w:t>
            </w:r>
          </w:p>
          <w:p>
            <w:pPr>
              <w:pStyle w:val="TableContents"/>
              <w:jc w:val="left"/>
              <w:rPr/>
            </w:pPr>
            <w:r>
              <w:rPr>
                <w:b w:val="false"/>
                <w:bCs w:val="false"/>
              </w:rPr>
              <w:t>(b) For a parent, what do I do with my kids while I‘m busy?</w:t>
            </w:r>
          </w:p>
          <w:p>
            <w:pPr>
              <w:pStyle w:val="TableContents"/>
              <w:jc w:val="left"/>
              <w:rPr/>
            </w:pPr>
            <w:r>
              <w:rPr>
                <w:b w:val="false"/>
                <w:bCs w:val="false"/>
              </w:rPr>
              <w:t>(c) For a child, what can I do while my parent is at the MSC?</w:t>
            </w:r>
          </w:p>
        </w:tc>
      </w:tr>
      <w:tr>
        <w:trPr>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 xml:space="preserve">(iii) Affording </w:t>
            </w:r>
            <w:r>
              <w:rPr>
                <w:b w:val="false"/>
                <w:bCs w:val="false"/>
              </w:rPr>
              <w:t>value(s)</w:t>
            </w:r>
            <w:r>
              <w:rPr>
                <w:b w:val="false"/>
                <w:bCs w:val="false"/>
              </w:rPr>
              <w:t xml:space="preserve"> </w:t>
              <w:br/>
              <w:t>(how and why)</w:t>
            </w:r>
          </w:p>
        </w:tc>
        <w:tc>
          <w:tcPr>
            <w:tcW w:w="271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Displaying up-to-date news and local information, so that individuals can know ways to independently act.</w:t>
            </w:r>
          </w:p>
          <w:p>
            <w:pPr>
              <w:pStyle w:val="TableContents"/>
              <w:jc w:val="left"/>
              <w:rPr/>
            </w:pPr>
            <w:r>
              <w:rPr/>
              <w:t>Adding, revising and moderating community contributions so that individual and authoritative viewpoints are balanced.</w:t>
            </w:r>
          </w:p>
        </w:tc>
        <w:tc>
          <w:tcPr>
            <w:tcW w:w="2386"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Matching client needs with MSC resources, so that holistic treatments are received.</w:t>
            </w:r>
          </w:p>
          <w:p>
            <w:pPr>
              <w:pStyle w:val="TableContents"/>
              <w:jc w:val="left"/>
              <w:rPr/>
            </w:pPr>
            <w:r>
              <w:rPr/>
              <w:t>Triaging and scheduling so that urgent cases are prioritized, and wait times are tolerable</w:t>
            </w:r>
          </w:p>
        </w:tc>
        <w:tc>
          <w:tcPr>
            <w:tcW w:w="2263"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Leaving a child at a supervised play area so that whereabouts are known.</w:t>
            </w:r>
          </w:p>
          <w:p>
            <w:pPr>
              <w:pStyle w:val="TableContents"/>
              <w:jc w:val="left"/>
              <w:rPr/>
            </w:pPr>
            <w:r>
              <w:rPr/>
              <w:t>Availing distractions for toddlers through teens, so that coming with parents is less of a chore</w:t>
            </w:r>
          </w:p>
        </w:tc>
      </w:tr>
      <w:tr>
        <w:trPr>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 xml:space="preserve">(iv) </w:t>
            </w:r>
            <w:r>
              <w:rPr>
                <w:b w:val="false"/>
                <w:bCs w:val="false"/>
              </w:rPr>
              <w:t>Spatio-temporal frames</w:t>
            </w:r>
          </w:p>
          <w:p>
            <w:pPr>
              <w:pStyle w:val="TableContents"/>
              <w:jc w:val="left"/>
              <w:rPr/>
            </w:pPr>
            <w:r>
              <w:rPr>
                <w:b w:val="false"/>
                <w:bCs w:val="false"/>
              </w:rPr>
              <w:t>(where and when)</w:t>
            </w:r>
          </w:p>
        </w:tc>
        <w:tc>
          <w:tcPr>
            <w:tcW w:w="271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Access to information onsite MSC for clients who don‘t have devices, and on the open Internet for the public</w:t>
            </w:r>
          </w:p>
        </w:tc>
        <w:tc>
          <w:tcPr>
            <w:tcW w:w="2386"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 xml:space="preserve">On demand lookups of trending and prior MSC busy and slow periods transparently visibie onsite and on the Internet, enabling clients to adjust and/or rebook </w:t>
            </w:r>
          </w:p>
        </w:tc>
        <w:tc>
          <w:tcPr>
            <w:tcW w:w="2263"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Facilities and programs are known both to children and parents in advance of appointments</w:t>
            </w:r>
          </w:p>
        </w:tc>
      </w:tr>
      <w:tr>
        <w:trPr>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271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386"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c>
          <w:tcPr>
            <w:tcW w:w="2263"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 xml:space="preserve">◊ </w:t>
            </w:r>
          </w:p>
        </w:tc>
      </w:tr>
      <w:tr>
        <w:trPr>
          <w:trHeight w:val="1792" w:hRule="atLeast"/>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(v) Containing systems (slower and larger)</w:t>
            </w:r>
          </w:p>
        </w:tc>
        <w:tc>
          <w:tcPr>
            <w:tcW w:w="5098" w:type="dxa"/>
            <w:gridSpan w:val="2"/>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For municipal, regional and national agencies, are community health and social services in their jurisdictions well provide?</w:t>
            </w:r>
          </w:p>
        </w:tc>
        <w:tc>
          <w:tcPr>
            <w:tcW w:w="2263"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Normal"/>
              <w:spacing w:before="0" w:after="200"/>
              <w:jc w:val="left"/>
              <w:rPr/>
            </w:pPr>
            <w:r>
              <w:rPr/>
              <w:t>For extended family, schools and community workers, what personal responsibilities inhibit service engagement?</w:t>
            </w:r>
          </w:p>
        </w:tc>
      </w:tr>
      <w:tr>
        <w:trPr>
          <w:cantSplit w:val="true"/>
        </w:trPr>
        <w:tc>
          <w:tcPr>
            <w:tcW w:w="170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vi) Contained systems (faster and smaller)</w:t>
            </w:r>
          </w:p>
        </w:tc>
        <w:tc>
          <w:tcPr>
            <w:tcW w:w="2712"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For neighbours in mutual support, friends and family ties, who should know about news?</w:t>
            </w:r>
          </w:p>
        </w:tc>
        <w:tc>
          <w:tcPr>
            <w:tcW w:w="2386"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For friends or assistants speaking on behalf or interpreting for a client, is the situation understood?</w:t>
            </w:r>
          </w:p>
        </w:tc>
        <w:tc>
          <w:tcPr>
            <w:tcW w:w="2263"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For other parents at the MSC at the same time, would you look after my kids like I look after yours?</w:t>
            </w:r>
          </w:p>
        </w:tc>
      </w:tr>
    </w:tbl>
    <w:p>
      <w:pPr>
        <w:pStyle w:val="Normal"/>
        <w:rPr/>
      </w:pPr>
      <w:r>
        <w:rPr>
          <w:color w:val="00000A"/>
          <w:lang w:val="en-US" w:eastAsia="ja-JP"/>
        </w:rPr>
        <w:br/>
        <w:t>These three patterns were inspired as a reorientation from those in Table 1.  Pattern 21 "Self-service" becomes "Tapping into the grapevine".  Pattern 28 "The intake position" becomes "Signing in for service".  Pattern 32 "Child care position" becomes "Minding children".  While the proposed row headings are compared to the Alexandrian counterparts more deeply in  Section 2.3, let’s first get a feel for their meaning through the straw man content.</w:t>
      </w:r>
    </w:p>
    <w:p>
      <w:pPr>
        <w:pStyle w:val="Normal"/>
        <w:rPr/>
      </w:pPr>
      <w:r>
        <w:rPr>
          <w:i/>
          <w:iCs/>
          <w:color w:val="00000A"/>
          <w:lang w:val="en-US" w:eastAsia="ja-JP"/>
        </w:rPr>
        <w:t>(i) Pattern label</w:t>
      </w:r>
      <w:r>
        <w:rPr>
          <w:color w:val="00000A"/>
          <w:lang w:val="en-US" w:eastAsia="ja-JP"/>
        </w:rPr>
        <w:t xml:space="preserve"> sees a shift in language from nouns conventionally used in the pattern language doxa to active participles oriented towards action.  This can be seen as a parallel with the field of industrial design emerging a new paradigm of interaction design, from the Dynabook vision of Alan Kay from 1972, the coining of the term by Bill Moggridge in the mid-1980s and the rise of academic programs in the 1990s.</w:t>
      </w:r>
    </w:p>
    <w:p>
      <w:pPr>
        <w:pStyle w:val="Normal"/>
        <w:rPr/>
      </w:pPr>
      <w:r>
        <w:rPr>
          <w:i/>
          <w:iCs/>
          <w:color w:val="00000A"/>
          <w:lang w:val="en-US" w:eastAsia="ja-JP"/>
        </w:rPr>
        <w:t>(ii) Voices on issues</w:t>
      </w:r>
      <w:r>
        <w:rPr>
          <w:color w:val="00000A"/>
          <w:lang w:val="en-US" w:eastAsia="ja-JP"/>
        </w:rPr>
        <w:t xml:space="preserve"> surface the </w:t>
      </w:r>
      <w:r>
        <w:rPr>
          <w:i/>
          <w:iCs/>
          <w:color w:val="00000A"/>
          <w:lang w:val="en-US" w:eastAsia="ja-JP"/>
        </w:rPr>
        <w:t>who</w:t>
      </w:r>
      <w:r>
        <w:rPr>
          <w:color w:val="00000A"/>
          <w:lang w:val="en-US" w:eastAsia="ja-JP"/>
        </w:rPr>
        <w:t xml:space="preserve"> and </w:t>
      </w:r>
      <w:r>
        <w:rPr>
          <w:i/>
          <w:iCs/>
          <w:color w:val="00000A"/>
          <w:lang w:val="en-US" w:eastAsia="ja-JP"/>
        </w:rPr>
        <w:t>what</w:t>
      </w:r>
      <w:r>
        <w:rPr>
          <w:color w:val="00000A"/>
          <w:lang w:val="en-US" w:eastAsia="ja-JP"/>
        </w:rPr>
        <w:t xml:space="preserve"> of the pattern.  In a service system, the most prominent voices are with clients and stakeholders external to the provider, who influence the organizational direction.</w:t>
      </w:r>
    </w:p>
    <w:p>
      <w:pPr>
        <w:pStyle w:val="Normal"/>
        <w:rPr/>
      </w:pPr>
      <w:r>
        <w:rPr>
          <w:color w:val="00000A"/>
          <w:lang w:val="en-US" w:eastAsia="ja-JP"/>
        </w:rPr>
        <w:t xml:space="preserve">Voice and ongoing dialogue are a foundation in any social relation, with exit as the breakdown alternative.  Voice can be defined as "any attempt at all to change, rather than to escape from, an objectionable state of affairs, whether through individual or collective petition to the management directly in charge, through appeal to a higher authority with the intention of forcing a change in management, or through various types of actions and protests, including those that are meant to mobilize public opinion" </w:t>
      </w:r>
      <w:bookmarkStart w:id="1147" w:name="__UnoMark__23536_140394355"/>
      <w:bookmarkStart w:id="1148" w:name="__UnoMark__17315_140394355"/>
      <w:bookmarkStart w:id="1149" w:name="__UnoMark__15929_140394355"/>
      <w:bookmarkStart w:id="1150" w:name="__UnoMark__5332_41873585"/>
      <w:bookmarkStart w:id="1151" w:name="__UnoMark__4843_41873585"/>
      <w:bookmarkStart w:id="1152" w:name="__UnoMark__3480_1689624541"/>
      <w:bookmarkStart w:id="1153" w:name="__UnoMark__3133_1689624541"/>
      <w:bookmarkStart w:id="1154" w:name="__UnoMark__2530_2050315779"/>
      <w:bookmarkStart w:id="1155" w:name="ZOTERO_BREF_x1cJCIBK1P7g"/>
      <w:bookmarkStart w:id="1156" w:name="__UnoMark__4960_2060183323"/>
      <w:bookmarkStart w:id="1157" w:name="__UnoMark__5126_2060183323"/>
      <w:bookmarkStart w:id="1158" w:name="__UnoMark__5278_2060183323"/>
      <w:bookmarkStart w:id="1159" w:name="__UnoMark__5444_2060183323"/>
      <w:bookmarkStart w:id="1160" w:name="__UnoMark__5652_2060183323"/>
      <w:bookmarkStart w:id="1161" w:name="__UnoMark__5832_2060183323"/>
      <w:bookmarkStart w:id="1162" w:name="__UnoMark__6061_2060183323"/>
      <w:bookmarkStart w:id="1163" w:name="__UnoMark__6338_41873585"/>
      <w:bookmarkStart w:id="1164" w:name="__UnoMark__5845_41873585"/>
      <w:bookmarkStart w:id="1165" w:name="__UnoMark__5819_60934169"/>
      <w:bookmarkStart w:id="1166" w:name="__UnoMark__17900_1661744717"/>
      <w:bookmarkStart w:id="1167" w:name="__UnoMark__17580_1661744717"/>
      <w:bookmarkStart w:id="1168" w:name="__UnoMark__16689_1661744717"/>
      <w:bookmarkStart w:id="1169" w:name="__UnoMark__5552_60934169"/>
      <w:bookmarkStart w:id="1170" w:name="__UnoMark__14941_1661744717"/>
      <w:bookmarkStart w:id="1171" w:name="__UnoMark__7135_1586897740"/>
      <w:bookmarkStart w:id="1172" w:name="__UnoMark__13187_722878254"/>
      <w:bookmarkStart w:id="1173" w:name="__UnoMark__12506_722878254"/>
      <w:bookmarkStart w:id="1174" w:name="__UnoMark__11838_722878254"/>
      <w:bookmarkStart w:id="1175" w:name="__UnoMark__5768_1443136783"/>
      <w:bookmarkStart w:id="1176" w:name="__UnoMark__7414_41873585"/>
      <w:bookmarkStart w:id="1177" w:name="__UnoMark__6936_41873585"/>
      <w:bookmarkStart w:id="1178" w:name="__UnoMark__15815_1661744717"/>
      <w:bookmarkStart w:id="1179" w:name="__UnoMark__18476_1880123655"/>
      <w:bookmarkStart w:id="1180" w:name="__UnoMark__17365_1880123655"/>
      <w:bookmarkStart w:id="1181" w:name="__UnoMark__16318_1880123655"/>
      <w:bookmarkStart w:id="1182" w:name="__UnoMark__10975_283745954"/>
      <w:bookmarkStart w:id="1183" w:name="__UnoMark__10694_283745954"/>
      <w:bookmarkStart w:id="1184" w:name="__UnoMark__9598_283745954"/>
      <w:bookmarkStart w:id="1185" w:name="__UnoMark__8777_283745954"/>
      <w:bookmarkStart w:id="1186" w:name="__UnoMark__9424_435217427"/>
      <w:bookmarkStart w:id="1187" w:name="__UnoMark__25345_497913431"/>
      <w:bookmarkStart w:id="1188" w:name="__UnoMark__24484_497913431"/>
      <w:bookmarkStart w:id="1189" w:name="__UnoMark__23768_497913431"/>
      <w:bookmarkStart w:id="1190" w:name="__UnoMark__23064_497913431"/>
      <w:bookmarkStart w:id="1191" w:name="__UnoMark__22305_497913431"/>
      <w:bookmarkStart w:id="1192" w:name="__UnoMark__7919_497913431"/>
      <w:bookmarkStart w:id="1193" w:name="__UnoMark__11394_1492540610"/>
      <w:bookmarkStart w:id="1194" w:name="__UnoMark__10774_1492540610"/>
      <w:bookmarkStart w:id="1195" w:name="__UnoMark__6154_60934169"/>
      <w:bookmarkStart w:id="1196" w:name="__UnoMark__5263_60934169"/>
      <w:bookmarkStart w:id="1197" w:name="__UnoMark__6482_60934169"/>
      <w:bookmarkStart w:id="1198" w:name="__UnoMark__6796_60934169"/>
      <w:bookmarkStart w:id="1199" w:name="__UnoMark__3966_348219782"/>
      <w:bookmarkStart w:id="1200" w:name="__UnoMark__4400_348219782"/>
      <w:bookmarkStart w:id="1201" w:name="__UnoMark__12325_1244819659"/>
      <w:bookmarkStart w:id="1202" w:name="__UnoMark__12756_1244819659"/>
      <w:bookmarkStart w:id="1203" w:name="__UnoMark__12899_1244819659"/>
      <w:bookmarkStart w:id="1204" w:name="__UnoMark__3682_599023520"/>
      <w:bookmarkStart w:id="1205" w:name="__UnoMark__4199_599023520"/>
      <w:bookmarkStart w:id="1206" w:name="__UnoMark__5510_1492540610"/>
      <w:bookmarkStart w:id="1207" w:name="__UnoMark__6095_1492540610"/>
      <w:bookmarkStart w:id="1208" w:name="__UnoMark__8945_1492540610"/>
      <w:bookmarkStart w:id="1209" w:name="__UnoMark__9541_1492540610"/>
      <w:bookmarkStart w:id="1210" w:name="__UnoMark__10140_1492540610"/>
      <w:bookmarkStart w:id="1211" w:name="__UnoMark__27281_836371768"/>
      <w:bookmarkStart w:id="1212" w:name="__UnoMark__28426_836371768"/>
      <w:bookmarkStart w:id="1213" w:name="__UnoMark__29600_836371768"/>
      <w:bookmarkStart w:id="1214" w:name="__UnoMark__30761_836371768"/>
      <w:bookmarkStart w:id="1215" w:name="__UnoMark__40751_2025191570"/>
      <w:bookmarkStart w:id="1216" w:name="__UnoMark__41967_2025191570"/>
      <w:bookmarkStart w:id="1217" w:name="__UnoMark__43218_2025191570"/>
      <w:bookmarkStart w:id="1218" w:name="__UnoMark__44478_2025191570"/>
      <w:r>
        <w:rPr>
          <w:color w:val="00000A"/>
          <w:lang w:val="en-US" w:eastAsia="ja-JP"/>
        </w:rPr>
        <w:t>(Hirschman, 1970, p. 30)</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Pr>
          <w:color w:val="00000A"/>
          <w:lang w:val="en-US" w:eastAsia="ja-JP"/>
        </w:rPr>
        <w:t xml:space="preserve">.  In Quality Function Deployment (QFD), the "voice of the customer" identifies, structures and prioritizes customer needs </w:t>
      </w:r>
      <w:bookmarkStart w:id="1219" w:name="__UnoMark__23537_140394355"/>
      <w:bookmarkStart w:id="1220" w:name="__UnoMark__17316_140394355"/>
      <w:bookmarkStart w:id="1221" w:name="__UnoMark__15930_140394355"/>
      <w:bookmarkStart w:id="1222" w:name="__UnoMark__4961_2060183323"/>
      <w:bookmarkStart w:id="1223" w:name="__UnoMark__4844_41873585"/>
      <w:bookmarkStart w:id="1224" w:name="__UnoMark__3481_1689624541"/>
      <w:bookmarkStart w:id="1225" w:name="__UnoMark__3134_1689624541"/>
      <w:bookmarkStart w:id="1226" w:name="__UnoMark__2531_2050315779"/>
      <w:bookmarkStart w:id="1227" w:name="ZOTERO_BREF_B6gzwaEiVQXW"/>
      <w:bookmarkStart w:id="1228" w:name="__UnoMark__5127_2060183323"/>
      <w:bookmarkStart w:id="1229" w:name="__UnoMark__5279_2060183323"/>
      <w:bookmarkStart w:id="1230" w:name="__UnoMark__5445_2060183323"/>
      <w:bookmarkStart w:id="1231" w:name="__UnoMark__5653_2060183323"/>
      <w:bookmarkStart w:id="1232" w:name="__UnoMark__5833_2060183323"/>
      <w:bookmarkStart w:id="1233" w:name="__UnoMark__6062_2060183323"/>
      <w:bookmarkStart w:id="1234" w:name="__UnoMark__5846_41873585"/>
      <w:bookmarkStart w:id="1235" w:name="__UnoMark__5333_41873585"/>
      <w:bookmarkStart w:id="1236" w:name="__UnoMark__5553_60934169"/>
      <w:bookmarkStart w:id="1237" w:name="__UnoMark__17901_1661744717"/>
      <w:bookmarkStart w:id="1238" w:name="__UnoMark__17581_1661744717"/>
      <w:bookmarkStart w:id="1239" w:name="__UnoMark__16690_1661744717"/>
      <w:bookmarkStart w:id="1240" w:name="__UnoMark__15816_1661744717"/>
      <w:bookmarkStart w:id="1241" w:name="__UnoMark__5264_60934169"/>
      <w:bookmarkStart w:id="1242" w:name="__UnoMark__7136_1586897740"/>
      <w:bookmarkStart w:id="1243" w:name="__UnoMark__13188_722878254"/>
      <w:bookmarkStart w:id="1244" w:name="__UnoMark__12507_722878254"/>
      <w:bookmarkStart w:id="1245" w:name="__UnoMark__11839_722878254"/>
      <w:bookmarkStart w:id="1246" w:name="__UnoMark__5769_1443136783"/>
      <w:bookmarkStart w:id="1247" w:name="__UnoMark__7415_41873585"/>
      <w:bookmarkStart w:id="1248" w:name="__UnoMark__6937_41873585"/>
      <w:bookmarkStart w:id="1249" w:name="__UnoMark__6339_41873585"/>
      <w:bookmarkStart w:id="1250" w:name="__UnoMark__14942_1661744717"/>
      <w:bookmarkStart w:id="1251" w:name="__UnoMark__3683_599023520"/>
      <w:bookmarkStart w:id="1252" w:name="__UnoMark__18477_1880123655"/>
      <w:bookmarkStart w:id="1253" w:name="__UnoMark__17366_1880123655"/>
      <w:bookmarkStart w:id="1254" w:name="__UnoMark__16319_1880123655"/>
      <w:bookmarkStart w:id="1255" w:name="__UnoMark__10976_283745954"/>
      <w:bookmarkStart w:id="1256" w:name="__UnoMark__10695_283745954"/>
      <w:bookmarkStart w:id="1257" w:name="__UnoMark__9599_283745954"/>
      <w:bookmarkStart w:id="1258" w:name="__UnoMark__8778_283745954"/>
      <w:bookmarkStart w:id="1259" w:name="__UnoMark__9425_435217427"/>
      <w:bookmarkStart w:id="1260" w:name="__UnoMark__25346_497913431"/>
      <w:bookmarkStart w:id="1261" w:name="__UnoMark__24485_497913431"/>
      <w:bookmarkStart w:id="1262" w:name="__UnoMark__23769_497913431"/>
      <w:bookmarkStart w:id="1263" w:name="__UnoMark__23065_497913431"/>
      <w:bookmarkStart w:id="1264" w:name="__UnoMark__22306_497913431"/>
      <w:bookmarkStart w:id="1265" w:name="__UnoMark__7920_497913431"/>
      <w:bookmarkStart w:id="1266" w:name="__UnoMark__11395_1492540610"/>
      <w:bookmarkStart w:id="1267" w:name="__UnoMark__5820_60934169"/>
      <w:bookmarkStart w:id="1268" w:name="__UnoMark__6155_60934169"/>
      <w:bookmarkStart w:id="1269" w:name="__UnoMark__6483_60934169"/>
      <w:bookmarkStart w:id="1270" w:name="__UnoMark__6797_60934169"/>
      <w:bookmarkStart w:id="1271" w:name="__UnoMark__3967_348219782"/>
      <w:bookmarkStart w:id="1272" w:name="__UnoMark__4401_348219782"/>
      <w:bookmarkStart w:id="1273" w:name="__UnoMark__12326_1244819659"/>
      <w:bookmarkStart w:id="1274" w:name="__UnoMark__12757_1244819659"/>
      <w:bookmarkStart w:id="1275" w:name="__UnoMark__12900_1244819659"/>
      <w:bookmarkStart w:id="1276" w:name="__UnoMark__4200_599023520"/>
      <w:bookmarkStart w:id="1277" w:name="__UnoMark__5511_1492540610"/>
      <w:bookmarkStart w:id="1278" w:name="__UnoMark__6096_1492540610"/>
      <w:bookmarkStart w:id="1279" w:name="__UnoMark__8946_1492540610"/>
      <w:bookmarkStart w:id="1280" w:name="__UnoMark__9542_1492540610"/>
      <w:bookmarkStart w:id="1281" w:name="__UnoMark__10141_1492540610"/>
      <w:bookmarkStart w:id="1282" w:name="__UnoMark__10775_1492540610"/>
      <w:bookmarkStart w:id="1283" w:name="__UnoMark__27282_836371768"/>
      <w:bookmarkStart w:id="1284" w:name="__UnoMark__28427_836371768"/>
      <w:bookmarkStart w:id="1285" w:name="__UnoMark__29601_836371768"/>
      <w:bookmarkStart w:id="1286" w:name="__UnoMark__30762_836371768"/>
      <w:bookmarkStart w:id="1287" w:name="__UnoMark__40752_2025191570"/>
      <w:bookmarkStart w:id="1288" w:name="__UnoMark__41968_2025191570"/>
      <w:bookmarkStart w:id="1289" w:name="__UnoMark__43219_2025191570"/>
      <w:bookmarkStart w:id="1290" w:name="__UnoMark__44479_2025191570"/>
      <w:r>
        <w:rPr>
          <w:b w:val="false"/>
          <w:i w:val="false"/>
          <w:caps w:val="false"/>
          <w:smallCaps w:val="false"/>
          <w:color w:val="00000A"/>
          <w:position w:val="0"/>
          <w:sz w:val="22"/>
          <w:sz w:val="22"/>
          <w:u w:val="none"/>
          <w:vertAlign w:val="baseline"/>
          <w:lang w:val="en-US" w:eastAsia="ja-JP"/>
        </w:rPr>
        <w:t>(Griffin &amp; Hauser, 1993, pp. 3</w:t>
      </w:r>
      <w:r>
        <w:rPr>
          <w:b w:val="false"/>
          <w:i w:val="false"/>
          <w:caps w:val="false"/>
          <w:smallCaps w:val="false"/>
          <w:position w:val="0"/>
          <w:sz w:val="22"/>
          <w:sz w:val="22"/>
          <w:u w:val="none"/>
          <w:vertAlign w:val="baseline"/>
        </w:rPr>
        <w:t>–5)</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Pr>
          <w:color w:val="00000A"/>
          <w:lang w:val="en-US" w:eastAsia="ja-JP"/>
        </w:rPr>
        <w:t>.</w:t>
      </w:r>
    </w:p>
    <w:p>
      <w:pPr>
        <w:pStyle w:val="Normal"/>
        <w:rPr/>
      </w:pPr>
      <w:r>
        <w:rPr>
          <w:color w:val="00000A"/>
          <w:lang w:val="en-US" w:eastAsia="ja-JP"/>
        </w:rPr>
        <w:t xml:space="preserve">Issues surface during discourses on unstructured problem areas (topics), where parties take different positions.  In an issue-based information system, they have the properties that (i) issues take the form of questions; (ii) issues originate from controversial statements; (iii) issues are specific to particular situations; and (iv) issues are raised, argument, settled, dodged or substituted </w:t>
      </w:r>
      <w:bookmarkStart w:id="1291" w:name="__UnoMark__23538_140394355"/>
      <w:bookmarkStart w:id="1292" w:name="__UnoMark__17317_140394355"/>
      <w:bookmarkStart w:id="1293" w:name="__UnoMark__15931_140394355"/>
      <w:bookmarkStart w:id="1294" w:name="__UnoMark__5847_41873585"/>
      <w:bookmarkStart w:id="1295" w:name="__UnoMark__4845_41873585"/>
      <w:bookmarkStart w:id="1296" w:name="__UnoMark__3482_1689624541"/>
      <w:bookmarkStart w:id="1297" w:name="__UnoMark__3135_1689624541"/>
      <w:bookmarkStart w:id="1298" w:name="__UnoMark__2532_2050315779"/>
      <w:bookmarkStart w:id="1299" w:name="ZOTERO_BREF_OJW1F1XbX4Dg"/>
      <w:bookmarkStart w:id="1300" w:name="__UnoMark__4962_2060183323"/>
      <w:bookmarkStart w:id="1301" w:name="__UnoMark__5128_2060183323"/>
      <w:bookmarkStart w:id="1302" w:name="__UnoMark__5280_2060183323"/>
      <w:bookmarkStart w:id="1303" w:name="__UnoMark__5446_2060183323"/>
      <w:bookmarkStart w:id="1304" w:name="__UnoMark__5654_2060183323"/>
      <w:bookmarkStart w:id="1305" w:name="__UnoMark__5834_2060183323"/>
      <w:bookmarkStart w:id="1306" w:name="__UnoMark__6063_2060183323"/>
      <w:bookmarkStart w:id="1307" w:name="__UnoMark__5265_60934169"/>
      <w:bookmarkStart w:id="1308" w:name="__UnoMark__5821_60934169"/>
      <w:bookmarkStart w:id="1309" w:name="__UnoMark__5334_41873585"/>
      <w:bookmarkStart w:id="1310" w:name="__UnoMark__17902_1661744717"/>
      <w:bookmarkStart w:id="1311" w:name="__UnoMark__17582_1661744717"/>
      <w:bookmarkStart w:id="1312" w:name="__UnoMark__16691_1661744717"/>
      <w:bookmarkStart w:id="1313" w:name="__UnoMark__15817_1661744717"/>
      <w:bookmarkStart w:id="1314" w:name="__UnoMark__5554_60934169"/>
      <w:bookmarkStart w:id="1315" w:name="__UnoMark__7137_1586897740"/>
      <w:bookmarkStart w:id="1316" w:name="__UnoMark__13189_722878254"/>
      <w:bookmarkStart w:id="1317" w:name="__UnoMark__12508_722878254"/>
      <w:bookmarkStart w:id="1318" w:name="__UnoMark__11840_722878254"/>
      <w:bookmarkStart w:id="1319" w:name="__UnoMark__5770_1443136783"/>
      <w:bookmarkStart w:id="1320" w:name="__UnoMark__7416_41873585"/>
      <w:bookmarkStart w:id="1321" w:name="__UnoMark__6938_41873585"/>
      <w:bookmarkStart w:id="1322" w:name="__UnoMark__6340_41873585"/>
      <w:bookmarkStart w:id="1323" w:name="__UnoMark__14943_1661744717"/>
      <w:bookmarkStart w:id="1324" w:name="__UnoMark__18478_1880123655"/>
      <w:bookmarkStart w:id="1325" w:name="__UnoMark__17367_1880123655"/>
      <w:bookmarkStart w:id="1326" w:name="__UnoMark__16320_1880123655"/>
      <w:bookmarkStart w:id="1327" w:name="__UnoMark__10977_283745954"/>
      <w:bookmarkStart w:id="1328" w:name="__UnoMark__10696_283745954"/>
      <w:bookmarkStart w:id="1329" w:name="__UnoMark__9600_283745954"/>
      <w:bookmarkStart w:id="1330" w:name="__UnoMark__8779_283745954"/>
      <w:bookmarkStart w:id="1331" w:name="__UnoMark__9426_435217427"/>
      <w:bookmarkStart w:id="1332" w:name="__UnoMark__25347_497913431"/>
      <w:bookmarkStart w:id="1333" w:name="__UnoMark__24486_497913431"/>
      <w:bookmarkStart w:id="1334" w:name="__UnoMark__23770_497913431"/>
      <w:bookmarkStart w:id="1335" w:name="__UnoMark__23066_497913431"/>
      <w:bookmarkStart w:id="1336" w:name="__UnoMark__22307_497913431"/>
      <w:bookmarkStart w:id="1337" w:name="__UnoMark__7921_497913431"/>
      <w:bookmarkStart w:id="1338" w:name="__UnoMark__11396_1492540610"/>
      <w:bookmarkStart w:id="1339" w:name="__UnoMark__6156_60934169"/>
      <w:bookmarkStart w:id="1340" w:name="__UnoMark__3684_599023520"/>
      <w:bookmarkStart w:id="1341" w:name="__UnoMark__6484_60934169"/>
      <w:bookmarkStart w:id="1342" w:name="__UnoMark__6798_60934169"/>
      <w:bookmarkStart w:id="1343" w:name="__UnoMark__3968_348219782"/>
      <w:bookmarkStart w:id="1344" w:name="__UnoMark__4402_348219782"/>
      <w:bookmarkStart w:id="1345" w:name="__UnoMark__12327_1244819659"/>
      <w:bookmarkStart w:id="1346" w:name="__UnoMark__12758_1244819659"/>
      <w:bookmarkStart w:id="1347" w:name="__UnoMark__12901_1244819659"/>
      <w:bookmarkStart w:id="1348" w:name="__UnoMark__4201_599023520"/>
      <w:bookmarkStart w:id="1349" w:name="__UnoMark__5512_1492540610"/>
      <w:bookmarkStart w:id="1350" w:name="__UnoMark__6097_1492540610"/>
      <w:bookmarkStart w:id="1351" w:name="__UnoMark__8947_1492540610"/>
      <w:bookmarkStart w:id="1352" w:name="__UnoMark__9543_1492540610"/>
      <w:bookmarkStart w:id="1353" w:name="__UnoMark__10142_1492540610"/>
      <w:bookmarkStart w:id="1354" w:name="__UnoMark__10776_1492540610"/>
      <w:bookmarkStart w:id="1355" w:name="__UnoMark__27283_836371768"/>
      <w:bookmarkStart w:id="1356" w:name="__UnoMark__28428_836371768"/>
      <w:bookmarkStart w:id="1357" w:name="__UnoMark__29602_836371768"/>
      <w:bookmarkStart w:id="1358" w:name="__UnoMark__30763_836371768"/>
      <w:bookmarkStart w:id="1359" w:name="__UnoMark__40753_2025191570"/>
      <w:bookmarkStart w:id="1360" w:name="__UnoMark__41969_2025191570"/>
      <w:bookmarkStart w:id="1361" w:name="__UnoMark__43220_2025191570"/>
      <w:bookmarkStart w:id="1362" w:name="__UnoMark__44480_2025191570"/>
      <w:bookmarkStart w:id="1363" w:name="__UnoMark__1319_2060183323"/>
      <w:r>
        <w:rPr>
          <w:b w:val="false"/>
          <w:i w:val="false"/>
          <w:caps w:val="false"/>
          <w:smallCaps w:val="false"/>
          <w:color w:val="00000A"/>
          <w:position w:val="0"/>
          <w:sz w:val="22"/>
          <w:sz w:val="22"/>
          <w:u w:val="none"/>
          <w:vertAlign w:val="baseline"/>
          <w:lang w:val="en-US" w:eastAsia="ja-JP"/>
        </w:rPr>
        <w:t>(Kunz &amp; Rittel, 1970, pp. 3</w:t>
      </w:r>
      <w:bookmarkEnd w:id="1363"/>
      <w:r>
        <w:rPr>
          <w:b w:val="false"/>
          <w:i w:val="false"/>
          <w:caps w:val="false"/>
          <w:smallCaps w:val="false"/>
          <w:position w:val="0"/>
          <w:sz w:val="22"/>
          <w:sz w:val="22"/>
          <w:u w:val="none"/>
          <w:vertAlign w:val="baseline"/>
        </w:rPr>
        <w:t>–4)</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Pr>
          <w:color w:val="00000A"/>
          <w:lang w:val="en-US" w:eastAsia="ja-JP"/>
        </w:rPr>
        <w:t>.</w:t>
      </w:r>
    </w:p>
    <w:p>
      <w:pPr>
        <w:pStyle w:val="Normal"/>
        <w:rPr/>
      </w:pPr>
      <w:r>
        <w:rPr>
          <w:color w:val="00000A"/>
          <w:lang w:val="en-US" w:eastAsia="ja-JP"/>
        </w:rPr>
        <w:t>In the straw man of Table 2, an issue can span multiple patterns at the same level of analysis.  "Signing in for services" might or might not be independent of "Minding children", depending on the client.</w:t>
      </w:r>
    </w:p>
    <w:p>
      <w:pPr>
        <w:pStyle w:val="Normal"/>
        <w:rPr/>
      </w:pPr>
      <w:r>
        <w:rPr>
          <w:i/>
          <w:iCs/>
          <w:color w:val="00000A"/>
          <w:lang w:val="en-US" w:eastAsia="ja-JP"/>
        </w:rPr>
        <w:t>(iii) Affording value(s)</w:t>
      </w:r>
      <w:r>
        <w:rPr>
          <w:color w:val="00000A"/>
          <w:lang w:val="en-US" w:eastAsia="ja-JP"/>
        </w:rPr>
        <w:t xml:space="preserve"> are modes of action enabled through objects and/or events, expressed through </w:t>
      </w:r>
      <w:r>
        <w:rPr>
          <w:i/>
          <w:iCs/>
          <w:color w:val="00000A"/>
          <w:lang w:val="en-US" w:eastAsia="ja-JP"/>
        </w:rPr>
        <w:t>how</w:t>
      </w:r>
      <w:r>
        <w:rPr>
          <w:color w:val="00000A"/>
          <w:lang w:val="en-US" w:eastAsia="ja-JP"/>
        </w:rPr>
        <w:t xml:space="preserve"> and </w:t>
      </w:r>
      <w:r>
        <w:rPr>
          <w:i/>
          <w:iCs/>
          <w:color w:val="00000A"/>
          <w:lang w:val="en-US" w:eastAsia="ja-JP"/>
        </w:rPr>
        <w:t>why</w:t>
      </w:r>
      <w:r>
        <w:rPr>
          <w:color w:val="00000A"/>
          <w:lang w:val="en-US" w:eastAsia="ja-JP"/>
        </w:rPr>
        <w:t>.  Nuances of this perspective are involved with ecological psychology and phenomenological philosophy.</w:t>
      </w:r>
    </w:p>
    <w:p>
      <w:pPr>
        <w:pStyle w:val="Normal"/>
        <w:rPr/>
      </w:pPr>
      <w:r>
        <w:rPr>
          <w:color w:val="00000A"/>
          <w:lang w:val="en-US" w:eastAsia="ja-JP"/>
        </w:rPr>
        <w:t xml:space="preserve">Affording an action possibility is based on individuals having perceptions attuned to pick up salient aspects of an environment.  Learning is an "education of attention" so that objects or events may or may not show up, depending on prior experiences gained either personally, or through social engagement in a culture </w:t>
      </w:r>
      <w:bookmarkStart w:id="1364" w:name="__UnoMark__23539_140394355"/>
      <w:bookmarkStart w:id="1365" w:name="__UnoMark__17318_140394355"/>
      <w:bookmarkStart w:id="1366" w:name="__UnoMark__15932_140394355"/>
      <w:bookmarkStart w:id="1367" w:name="__UnoMark__5848_41873585"/>
      <w:bookmarkStart w:id="1368" w:name="__UnoMark__4846_41873585"/>
      <w:bookmarkStart w:id="1369" w:name="__UnoMark__3483_1689624541"/>
      <w:bookmarkStart w:id="1370" w:name="__UnoMark__3136_1689624541"/>
      <w:bookmarkStart w:id="1371" w:name="__UnoMark__2533_2050315779"/>
      <w:bookmarkStart w:id="1372" w:name="ZOTERO_BREF_z5oaeiHXoyx1"/>
      <w:bookmarkStart w:id="1373" w:name="__UnoMark__5655_2060183323"/>
      <w:bookmarkStart w:id="1374" w:name="__UnoMark__5835_2060183323"/>
      <w:bookmarkStart w:id="1375" w:name="__UnoMark__6064_2060183323"/>
      <w:bookmarkStart w:id="1376" w:name="__UnoMark__5266_60934169"/>
      <w:bookmarkStart w:id="1377" w:name="__UnoMark__5555_60934169"/>
      <w:bookmarkStart w:id="1378" w:name="__UnoMark__5822_60934169"/>
      <w:bookmarkStart w:id="1379" w:name="__UnoMark__6157_60934169"/>
      <w:bookmarkStart w:id="1380" w:name="__UnoMark__5335_41873585"/>
      <w:bookmarkStart w:id="1381" w:name="__UnoMark__6799_60934169"/>
      <w:bookmarkStart w:id="1382" w:name="__UnoMark__17903_1661744717"/>
      <w:bookmarkStart w:id="1383" w:name="__UnoMark__17583_1661744717"/>
      <w:bookmarkStart w:id="1384" w:name="__UnoMark__16692_1661744717"/>
      <w:bookmarkStart w:id="1385" w:name="__UnoMark__15818_1661744717"/>
      <w:bookmarkStart w:id="1386" w:name="__UnoMark__6485_60934169"/>
      <w:bookmarkStart w:id="1387" w:name="__UnoMark__7138_1586897740"/>
      <w:bookmarkStart w:id="1388" w:name="__UnoMark__13190_722878254"/>
      <w:bookmarkStart w:id="1389" w:name="__UnoMark__12509_722878254"/>
      <w:bookmarkStart w:id="1390" w:name="__UnoMark__11841_722878254"/>
      <w:bookmarkStart w:id="1391" w:name="__UnoMark__5771_1443136783"/>
      <w:bookmarkStart w:id="1392" w:name="__UnoMark__7417_41873585"/>
      <w:bookmarkStart w:id="1393" w:name="__UnoMark__6939_41873585"/>
      <w:bookmarkStart w:id="1394" w:name="__UnoMark__6341_41873585"/>
      <w:bookmarkStart w:id="1395" w:name="__UnoMark__14944_1661744717"/>
      <w:bookmarkStart w:id="1396" w:name="__UnoMark__8948_1492540610"/>
      <w:bookmarkStart w:id="1397" w:name="__UnoMark__18479_1880123655"/>
      <w:bookmarkStart w:id="1398" w:name="__UnoMark__17368_1880123655"/>
      <w:bookmarkStart w:id="1399" w:name="__UnoMark__16321_1880123655"/>
      <w:bookmarkStart w:id="1400" w:name="__UnoMark__10978_283745954"/>
      <w:bookmarkStart w:id="1401" w:name="__UnoMark__10697_283745954"/>
      <w:bookmarkStart w:id="1402" w:name="__UnoMark__9601_283745954"/>
      <w:bookmarkStart w:id="1403" w:name="__UnoMark__8780_283745954"/>
      <w:bookmarkStart w:id="1404" w:name="__UnoMark__9427_435217427"/>
      <w:bookmarkStart w:id="1405" w:name="__UnoMark__25348_497913431"/>
      <w:bookmarkStart w:id="1406" w:name="__UnoMark__24487_497913431"/>
      <w:bookmarkStart w:id="1407" w:name="__UnoMark__23771_497913431"/>
      <w:bookmarkStart w:id="1408" w:name="__UnoMark__3969_348219782"/>
      <w:bookmarkStart w:id="1409" w:name="__UnoMark__4403_348219782"/>
      <w:bookmarkStart w:id="1410" w:name="__UnoMark__12328_1244819659"/>
      <w:bookmarkStart w:id="1411" w:name="__UnoMark__12759_1244819659"/>
      <w:bookmarkStart w:id="1412" w:name="__UnoMark__12902_1244819659"/>
      <w:bookmarkStart w:id="1413" w:name="__UnoMark__3685_599023520"/>
      <w:bookmarkStart w:id="1414" w:name="__UnoMark__4202_599023520"/>
      <w:bookmarkStart w:id="1415" w:name="__UnoMark__5513_1492540610"/>
      <w:bookmarkStart w:id="1416" w:name="__UnoMark__6098_1492540610"/>
      <w:bookmarkStart w:id="1417" w:name="__UnoMark__9544_1492540610"/>
      <w:bookmarkStart w:id="1418" w:name="__UnoMark__10143_1492540610"/>
      <w:bookmarkStart w:id="1419" w:name="__UnoMark__10777_1492540610"/>
      <w:bookmarkStart w:id="1420" w:name="__UnoMark__11397_1492540610"/>
      <w:bookmarkStart w:id="1421" w:name="__UnoMark__7922_497913431"/>
      <w:bookmarkStart w:id="1422" w:name="__UnoMark__22308_497913431"/>
      <w:bookmarkStart w:id="1423" w:name="__UnoMark__23067_497913431"/>
      <w:bookmarkStart w:id="1424" w:name="__UnoMark__27284_836371768"/>
      <w:bookmarkStart w:id="1425" w:name="__UnoMark__28429_836371768"/>
      <w:bookmarkStart w:id="1426" w:name="__UnoMark__29603_836371768"/>
      <w:bookmarkStart w:id="1427" w:name="__UnoMark__30764_836371768"/>
      <w:bookmarkStart w:id="1428" w:name="__UnoMark__40754_2025191570"/>
      <w:bookmarkStart w:id="1429" w:name="__UnoMark__41970_2025191570"/>
      <w:bookmarkStart w:id="1430" w:name="__UnoMark__43221_2025191570"/>
      <w:bookmarkStart w:id="1431" w:name="__UnoMark__44481_2025191570"/>
      <w:bookmarkStart w:id="1432" w:name="__UnoMark__5447_2060183323"/>
      <w:bookmarkStart w:id="1433" w:name="__UnoMark__5281_2060183323"/>
      <w:bookmarkStart w:id="1434" w:name="__UnoMark__5118_2060183323"/>
      <w:bookmarkStart w:id="1435" w:name="__UnoMark__4954_2060183323"/>
      <w:bookmarkEnd w:id="1432"/>
      <w:bookmarkEnd w:id="1433"/>
      <w:bookmarkEnd w:id="1434"/>
      <w:bookmarkEnd w:id="1435"/>
      <w:r>
        <w:rPr>
          <w:b w:val="false"/>
          <w:i w:val="false"/>
          <w:caps w:val="false"/>
          <w:smallCaps w:val="false"/>
          <w:position w:val="0"/>
          <w:sz w:val="22"/>
          <w:sz w:val="22"/>
          <w:u w:val="none"/>
          <w:vertAlign w:val="baseline"/>
        </w:rPr>
        <w:t>(Ingold, 2000a, pp. 166–167)</w:t>
      </w:r>
      <w:bookmarkStart w:id="1436" w:name="__UnoMark__5000_2060183323"/>
      <w:bookmarkStart w:id="1437" w:name="__UnoMark__5493_2060183323"/>
      <w:bookmarkStart w:id="1438" w:name="__UnoMark__5012_206018332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6"/>
      <w:bookmarkEnd w:id="1437"/>
      <w:bookmarkEnd w:id="1438"/>
      <w:r>
        <w:rPr>
          <w:color w:val="00000A"/>
          <w:lang w:val="en-US" w:eastAsia="ja-JP"/>
        </w:rPr>
        <w:t xml:space="preserve">.  "[… The] environment </w:t>
      </w:r>
      <w:r>
        <w:rPr>
          <w:i/>
          <w:iCs/>
          <w:color w:val="00000A"/>
          <w:lang w:val="en-US" w:eastAsia="ja-JP"/>
        </w:rPr>
        <w:t>affords</w:t>
      </w:r>
      <w:r>
        <w:rPr>
          <w:color w:val="00000A"/>
          <w:lang w:val="en-US" w:eastAsia="ja-JP"/>
        </w:rPr>
        <w:t xml:space="preserve"> animals, mentioning the terrain, shelters, water, fire, objects, tools, other animals, and human displays.  [….]  The </w:t>
      </w:r>
      <w:r>
        <w:rPr>
          <w:i/>
          <w:iCs/>
          <w:color w:val="00000A"/>
          <w:lang w:val="en-US" w:eastAsia="ja-JP"/>
        </w:rPr>
        <w:t>affordances</w:t>
      </w:r>
      <w:r>
        <w:rPr>
          <w:color w:val="00000A"/>
          <w:lang w:val="en-US" w:eastAsia="ja-JP"/>
        </w:rPr>
        <w:t xml:space="preserve"> of the environment are what it </w:t>
      </w:r>
      <w:r>
        <w:rPr>
          <w:i/>
          <w:iCs/>
          <w:color w:val="00000A"/>
          <w:lang w:val="en-US" w:eastAsia="ja-JP"/>
        </w:rPr>
        <w:t>offers</w:t>
      </w:r>
      <w:r>
        <w:rPr>
          <w:color w:val="00000A"/>
          <w:lang w:val="en-US" w:eastAsia="ja-JP"/>
        </w:rPr>
        <w:t xml:space="preserve"> the animal, which it </w:t>
      </w:r>
      <w:r>
        <w:rPr>
          <w:i/>
          <w:iCs/>
          <w:color w:val="00000A"/>
          <w:lang w:val="en-US" w:eastAsia="ja-JP"/>
        </w:rPr>
        <w:t>provides</w:t>
      </w:r>
      <w:r>
        <w:rPr>
          <w:color w:val="00000A"/>
          <w:lang w:val="en-US" w:eastAsia="ja-JP"/>
        </w:rPr>
        <w:t xml:space="preserve"> or </w:t>
      </w:r>
      <w:r>
        <w:rPr>
          <w:i/>
          <w:iCs/>
          <w:color w:val="00000A"/>
          <w:lang w:val="en-US" w:eastAsia="ja-JP"/>
        </w:rPr>
        <w:t>furnishes</w:t>
      </w:r>
      <w:r>
        <w:rPr>
          <w:color w:val="00000A"/>
          <w:lang w:val="en-US" w:eastAsia="ja-JP"/>
        </w:rPr>
        <w:t xml:space="preserve">, either for good or ill" </w:t>
      </w:r>
      <w:bookmarkStart w:id="1439" w:name="__UnoMark__23540_140394355"/>
      <w:bookmarkStart w:id="1440" w:name="__UnoMark__17319_140394355"/>
      <w:bookmarkStart w:id="1441" w:name="__UnoMark__15933_140394355"/>
      <w:bookmarkStart w:id="1442" w:name="__UnoMark__5267_60934169"/>
      <w:bookmarkStart w:id="1443" w:name="__UnoMark__6065_2060183323"/>
      <w:bookmarkStart w:id="1444" w:name="__UnoMark__5836_2060183323"/>
      <w:bookmarkStart w:id="1445" w:name="__UnoMark__5656_2060183323"/>
      <w:bookmarkStart w:id="1446" w:name="__UnoMark__5448_2060183323"/>
      <w:bookmarkStart w:id="1447" w:name="__UnoMark__5282_2060183323"/>
      <w:bookmarkStart w:id="1448" w:name="ZOTERO_BREF_baBYumTqDu0J"/>
      <w:bookmarkStart w:id="1449" w:name="__UnoMark__5120_2060183323"/>
      <w:bookmarkStart w:id="1450" w:name="__UnoMark__2534_2050315779"/>
      <w:bookmarkStart w:id="1451" w:name="__UnoMark__3137_1689624541"/>
      <w:bookmarkStart w:id="1452" w:name="__UnoMark__3484_1689624541"/>
      <w:bookmarkStart w:id="1453" w:name="__UnoMark__4847_41873585"/>
      <w:bookmarkStart w:id="1454" w:name="__UnoMark__5336_41873585"/>
      <w:bookmarkStart w:id="1455" w:name="__UnoMark__5849_41873585"/>
      <w:bookmarkStart w:id="1456" w:name="__UnoMark__6342_41873585"/>
      <w:bookmarkStart w:id="1457" w:name="__UnoMark__7418_41873585"/>
      <w:bookmarkStart w:id="1458" w:name="__UnoMark__5772_1443136783"/>
      <w:bookmarkStart w:id="1459" w:name="__UnoMark__11842_722878254"/>
      <w:bookmarkStart w:id="1460" w:name="__UnoMark__12510_722878254"/>
      <w:bookmarkStart w:id="1461" w:name="__UnoMark__13191_722878254"/>
      <w:bookmarkStart w:id="1462" w:name="__UnoMark__7139_1586897740"/>
      <w:bookmarkStart w:id="1463" w:name="__UnoMark__14945_1661744717"/>
      <w:bookmarkStart w:id="1464" w:name="__UnoMark__15819_1661744717"/>
      <w:bookmarkStart w:id="1465" w:name="__UnoMark__16693_1661744717"/>
      <w:bookmarkStart w:id="1466" w:name="__UnoMark__17584_1661744717"/>
      <w:bookmarkStart w:id="1467" w:name="__UnoMark__17904_1661744717"/>
      <w:bookmarkStart w:id="1468" w:name="__UnoMark__5823_60934169"/>
      <w:bookmarkStart w:id="1469" w:name="__UnoMark__6940_41873585"/>
      <w:bookmarkStart w:id="1470" w:name="__UnoMark__18480_1880123655"/>
      <w:bookmarkStart w:id="1471" w:name="__UnoMark__17369_1880123655"/>
      <w:bookmarkStart w:id="1472" w:name="__UnoMark__16322_1880123655"/>
      <w:bookmarkStart w:id="1473" w:name="__UnoMark__10979_283745954"/>
      <w:bookmarkStart w:id="1474" w:name="__UnoMark__10698_283745954"/>
      <w:bookmarkStart w:id="1475" w:name="__UnoMark__9602_283745954"/>
      <w:bookmarkStart w:id="1476" w:name="__UnoMark__8781_283745954"/>
      <w:bookmarkStart w:id="1477" w:name="__UnoMark__9428_435217427"/>
      <w:bookmarkStart w:id="1478" w:name="__UnoMark__25349_497913431"/>
      <w:bookmarkStart w:id="1479" w:name="__UnoMark__24488_497913431"/>
      <w:bookmarkStart w:id="1480" w:name="__UnoMark__23772_497913431"/>
      <w:bookmarkStart w:id="1481" w:name="__UnoMark__23068_497913431"/>
      <w:bookmarkStart w:id="1482" w:name="__UnoMark__22309_497913431"/>
      <w:bookmarkStart w:id="1483" w:name="__UnoMark__7923_497913431"/>
      <w:bookmarkStart w:id="1484" w:name="__UnoMark__11398_1492540610"/>
      <w:bookmarkStart w:id="1485" w:name="__UnoMark__5556_60934169"/>
      <w:bookmarkStart w:id="1486" w:name="__UnoMark__6158_60934169"/>
      <w:bookmarkStart w:id="1487" w:name="__UnoMark__6486_60934169"/>
      <w:bookmarkStart w:id="1488" w:name="__UnoMark__6800_60934169"/>
      <w:bookmarkStart w:id="1489" w:name="__UnoMark__3970_348219782"/>
      <w:bookmarkStart w:id="1490" w:name="__UnoMark__4404_348219782"/>
      <w:bookmarkStart w:id="1491" w:name="__UnoMark__12329_1244819659"/>
      <w:bookmarkStart w:id="1492" w:name="__UnoMark__10778_1492540610"/>
      <w:bookmarkStart w:id="1493" w:name="__UnoMark__12903_1244819659"/>
      <w:bookmarkStart w:id="1494" w:name="__UnoMark__3686_599023520"/>
      <w:bookmarkStart w:id="1495" w:name="__UnoMark__4203_599023520"/>
      <w:bookmarkStart w:id="1496" w:name="__UnoMark__5514_1492540610"/>
      <w:bookmarkStart w:id="1497" w:name="__UnoMark__6099_1492540610"/>
      <w:bookmarkStart w:id="1498" w:name="__UnoMark__8949_1492540610"/>
      <w:bookmarkStart w:id="1499" w:name="__UnoMark__9545_1492540610"/>
      <w:bookmarkStart w:id="1500" w:name="__UnoMark__10144_1492540610"/>
      <w:bookmarkStart w:id="1501" w:name="__UnoMark__12760_1244819659"/>
      <w:bookmarkStart w:id="1502" w:name="__UnoMark__27285_836371768"/>
      <w:bookmarkStart w:id="1503" w:name="__UnoMark__28430_836371768"/>
      <w:bookmarkStart w:id="1504" w:name="__UnoMark__29604_836371768"/>
      <w:bookmarkStart w:id="1505" w:name="__UnoMark__30765_836371768"/>
      <w:bookmarkStart w:id="1506" w:name="__UnoMark__40755_2025191570"/>
      <w:bookmarkStart w:id="1507" w:name="__UnoMark__41971_2025191570"/>
      <w:bookmarkStart w:id="1508" w:name="__UnoMark__43222_2025191570"/>
      <w:bookmarkStart w:id="1509" w:name="__UnoMark__44482_2025191570"/>
      <w:r>
        <w:rPr>
          <w:color w:val="00000A"/>
          <w:lang w:val="en-US" w:eastAsia="ja-JP"/>
        </w:rPr>
        <w:t>(Gibson, 1979, p. 127)</w:t>
      </w:r>
      <w:bookmarkStart w:id="1510" w:name="__UnoMark__5171_2060183323"/>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Pr>
          <w:color w:val="00000A"/>
          <w:lang w:val="en-US" w:eastAsia="ja-JP"/>
        </w:rPr>
        <w:t>.</w:t>
      </w:r>
    </w:p>
    <w:p>
      <w:pPr>
        <w:pStyle w:val="Normal"/>
        <w:rPr/>
      </w:pPr>
      <w:r>
        <w:rPr>
          <w:color w:val="00000A"/>
          <w:lang w:val="en-US" w:eastAsia="ja-JP"/>
        </w:rPr>
        <w:t xml:space="preserve">How and why an action takes place can be described in the sense of equipment and being-in-the-world.  "[… Our] use of equipment makes sense because our activity has a point.  Thus, besides the ‘in-order-to’ that assigns equipment to an equipmental whole, … the use of equipment exhibits a ‘where-in’ (or practical context), a ‘with-which’ (of item of equipment), a ‘towards-which’ (or goal), and a ‘for-the-sake-of-which’ (or final point)" </w:t>
      </w:r>
      <w:bookmarkStart w:id="1511" w:name="__UnoMark__23541_140394355"/>
      <w:bookmarkStart w:id="1512" w:name="__UnoMark__17320_140394355"/>
      <w:bookmarkStart w:id="1513" w:name="__UnoMark__15934_140394355"/>
      <w:bookmarkStart w:id="1514" w:name="__UnoMark__5557_60934169"/>
      <w:bookmarkStart w:id="1515" w:name="__UnoMark__5268_60934169"/>
      <w:bookmarkStart w:id="1516" w:name="__UnoMark__6066_2060183323"/>
      <w:bookmarkStart w:id="1517" w:name="__UnoMark__5837_2060183323"/>
      <w:bookmarkStart w:id="1518" w:name="__UnoMark__5657_2060183323"/>
      <w:bookmarkStart w:id="1519" w:name="__UnoMark__5449_2060183323"/>
      <w:bookmarkStart w:id="1520" w:name="__UnoMark__5272_2060183323"/>
      <w:bookmarkStart w:id="1521" w:name="__UnoMark__2535_2050315779"/>
      <w:bookmarkStart w:id="1522" w:name="__UnoMark__3138_1689624541"/>
      <w:bookmarkStart w:id="1523" w:name="__UnoMark__3485_1689624541"/>
      <w:bookmarkStart w:id="1524" w:name="__UnoMark__4848_41873585"/>
      <w:bookmarkStart w:id="1525" w:name="__UnoMark__5337_41873585"/>
      <w:bookmarkStart w:id="1526" w:name="__UnoMark__5850_41873585"/>
      <w:bookmarkStart w:id="1527" w:name="__UnoMark__6343_41873585"/>
      <w:bookmarkStart w:id="1528" w:name="__UnoMark__7419_41873585"/>
      <w:bookmarkStart w:id="1529" w:name="__UnoMark__5773_1443136783"/>
      <w:bookmarkStart w:id="1530" w:name="__UnoMark__11843_722878254"/>
      <w:bookmarkStart w:id="1531" w:name="__UnoMark__12511_722878254"/>
      <w:bookmarkStart w:id="1532" w:name="__UnoMark__13192_722878254"/>
      <w:bookmarkStart w:id="1533" w:name="__UnoMark__7140_1586897740"/>
      <w:bookmarkStart w:id="1534" w:name="__UnoMark__14946_1661744717"/>
      <w:bookmarkStart w:id="1535" w:name="__UnoMark__15820_1661744717"/>
      <w:bookmarkStart w:id="1536" w:name="__UnoMark__16694_1661744717"/>
      <w:bookmarkStart w:id="1537" w:name="__UnoMark__17585_1661744717"/>
      <w:bookmarkStart w:id="1538" w:name="__UnoMark__17905_1661744717"/>
      <w:bookmarkStart w:id="1539" w:name="__UnoMark__5824_60934169"/>
      <w:bookmarkStart w:id="1540" w:name="__UnoMark__6941_41873585"/>
      <w:bookmarkStart w:id="1541" w:name="__UnoMark__17370_1880123655"/>
      <w:bookmarkStart w:id="1542" w:name="__UnoMark__16323_1880123655"/>
      <w:bookmarkStart w:id="1543" w:name="__UnoMark__10980_283745954"/>
      <w:bookmarkStart w:id="1544" w:name="__UnoMark__10699_283745954"/>
      <w:bookmarkStart w:id="1545" w:name="__UnoMark__9603_283745954"/>
      <w:bookmarkStart w:id="1546" w:name="__UnoMark__8782_283745954"/>
      <w:bookmarkStart w:id="1547" w:name="__UnoMark__9429_435217427"/>
      <w:bookmarkStart w:id="1548" w:name="__UnoMark__25350_497913431"/>
      <w:bookmarkStart w:id="1549" w:name="__UnoMark__24489_497913431"/>
      <w:bookmarkStart w:id="1550" w:name="__UnoMark__23773_497913431"/>
      <w:bookmarkStart w:id="1551" w:name="__UnoMark__23069_497913431"/>
      <w:bookmarkStart w:id="1552" w:name="__UnoMark__22310_497913431"/>
      <w:bookmarkStart w:id="1553" w:name="__UnoMark__7924_497913431"/>
      <w:bookmarkStart w:id="1554" w:name="__UnoMark__11399_1492540610"/>
      <w:bookmarkStart w:id="1555" w:name="__UnoMark__18481_1880123655"/>
      <w:bookmarkStart w:id="1556" w:name="__UnoMark__10145_1492540610"/>
      <w:bookmarkStart w:id="1557" w:name="__UnoMark__9546_1492540610"/>
      <w:bookmarkStart w:id="1558" w:name="__UnoMark__8950_1492540610"/>
      <w:bookmarkStart w:id="1559" w:name="__UnoMark__6100_1492540610"/>
      <w:bookmarkStart w:id="1560" w:name="__UnoMark__5515_1492540610"/>
      <w:bookmarkStart w:id="1561" w:name="__UnoMark__4204_599023520"/>
      <w:bookmarkStart w:id="1562" w:name="__UnoMark__3687_599023520"/>
      <w:bookmarkStart w:id="1563" w:name="__UnoMark__12904_1244819659"/>
      <w:bookmarkStart w:id="1564" w:name="__UnoMark__12761_1244819659"/>
      <w:bookmarkStart w:id="1565" w:name="__UnoMark__12330_1244819659"/>
      <w:bookmarkStart w:id="1566" w:name="__UnoMark__4405_348219782"/>
      <w:bookmarkStart w:id="1567" w:name="__UnoMark__3971_348219782"/>
      <w:bookmarkStart w:id="1568" w:name="__UnoMark__6801_60934169"/>
      <w:bookmarkStart w:id="1569" w:name="__UnoMark__6487_60934169"/>
      <w:bookmarkStart w:id="1570" w:name="__UnoMark__6159_60934169"/>
      <w:bookmarkStart w:id="1571" w:name="__UnoMark__10779_1492540610"/>
      <w:bookmarkStart w:id="1572" w:name="ZOTERO_BREF_y75RaIArJzct"/>
      <w:bookmarkStart w:id="1573" w:name="__UnoMark__27286_836371768"/>
      <w:bookmarkStart w:id="1574" w:name="__UnoMark__28431_836371768"/>
      <w:bookmarkStart w:id="1575" w:name="__UnoMark__29605_836371768"/>
      <w:bookmarkStart w:id="1576" w:name="__UnoMark__30766_836371768"/>
      <w:bookmarkStart w:id="1577" w:name="__UnoMark__40756_2025191570"/>
      <w:bookmarkStart w:id="1578" w:name="__UnoMark__41972_2025191570"/>
      <w:bookmarkStart w:id="1579" w:name="__UnoMark__43223_2025191570"/>
      <w:bookmarkStart w:id="1580" w:name="__UnoMark__44483_2025191570"/>
      <w:r>
        <w:rPr>
          <w:color w:val="00000A"/>
          <w:lang w:val="en-US" w:eastAsia="ja-JP"/>
        </w:rPr>
        <w:t>(Dreyfus, 1990, p. 92)</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Pr>
          <w:color w:val="00000A"/>
          <w:lang w:val="en-US" w:eastAsia="ja-JP"/>
        </w:rPr>
        <w:t xml:space="preserve">.  </w:t>
      </w:r>
      <w:r>
        <w:rPr>
          <w:i/>
          <w:iCs/>
          <w:color w:val="00000A"/>
          <w:lang w:val="en-US" w:eastAsia="ja-JP"/>
        </w:rPr>
        <w:t>How</w:t>
      </w:r>
      <w:r>
        <w:rPr>
          <w:color w:val="00000A"/>
          <w:lang w:val="en-US" w:eastAsia="ja-JP"/>
        </w:rPr>
        <w:t xml:space="preserve"> can be described with ‘where-in’ and ‘with-which’.  </w:t>
      </w:r>
      <w:r>
        <w:rPr>
          <w:i/>
          <w:iCs/>
          <w:color w:val="00000A"/>
          <w:lang w:val="en-US" w:eastAsia="ja-JP"/>
        </w:rPr>
        <w:t>Why</w:t>
      </w:r>
      <w:r>
        <w:rPr>
          <w:color w:val="00000A"/>
          <w:lang w:val="en-US" w:eastAsia="ja-JP"/>
        </w:rPr>
        <w:t xml:space="preserve"> can be described with ‘towards-which’ and ‘for-the-sake-of-which’.</w:t>
      </w:r>
    </w:p>
    <w:p>
      <w:pPr>
        <w:pStyle w:val="Normal"/>
        <w:rPr/>
      </w:pPr>
      <w:r>
        <w:rPr>
          <w:i/>
          <w:iCs/>
          <w:color w:val="00000A"/>
          <w:lang w:val="en-US" w:eastAsia="ja-JP"/>
        </w:rPr>
        <w:t>(iv) The spatio-temporal frames</w:t>
      </w:r>
      <w:r>
        <w:rPr>
          <w:color w:val="00000A"/>
          <w:lang w:val="en-US" w:eastAsia="ja-JP"/>
        </w:rPr>
        <w:t xml:space="preserve"> for the pattern demarcate occasions at which the </w:t>
      </w:r>
      <w:r>
        <w:rPr>
          <w:i/>
          <w:iCs/>
          <w:color w:val="00000A"/>
          <w:lang w:val="en-US" w:eastAsia="ja-JP"/>
        </w:rPr>
        <w:t>where</w:t>
      </w:r>
      <w:r>
        <w:rPr>
          <w:color w:val="00000A"/>
          <w:lang w:val="en-US" w:eastAsia="ja-JP"/>
        </w:rPr>
        <w:t xml:space="preserve"> and </w:t>
      </w:r>
      <w:r>
        <w:rPr>
          <w:i/>
          <w:iCs/>
          <w:color w:val="00000A"/>
          <w:lang w:val="en-US" w:eastAsia="ja-JP"/>
        </w:rPr>
        <w:t>when</w:t>
      </w:r>
      <w:r>
        <w:rPr>
          <w:color w:val="00000A"/>
          <w:lang w:val="en-US" w:eastAsia="ja-JP"/>
        </w:rPr>
        <w:t xml:space="preserve"> of dwelling in issues and affordances are salient and at hand.  The </w:t>
      </w:r>
      <w:r>
        <w:rPr>
          <w:i/>
          <w:iCs/>
          <w:color w:val="00000A"/>
          <w:lang w:val="en-US" w:eastAsia="ja-JP"/>
        </w:rPr>
        <w:t>where</w:t>
      </w:r>
      <w:r>
        <w:rPr>
          <w:color w:val="00000A"/>
          <w:lang w:val="en-US" w:eastAsia="ja-JP"/>
        </w:rPr>
        <w:t xml:space="preserve"> is in a landscape, as "the world as it is known to those who dwell therein, who inhabit its places and journey along the paths connecting them" </w:t>
      </w:r>
      <w:bookmarkStart w:id="1581" w:name="__UnoMark__23542_140394355"/>
      <w:bookmarkStart w:id="1582" w:name="__UnoMark__17321_140394355"/>
      <w:bookmarkStart w:id="1583" w:name="__UnoMark__15935_140394355"/>
      <w:bookmarkStart w:id="1584" w:name="__UnoMark__5825_60934169"/>
      <w:bookmarkStart w:id="1585" w:name="__UnoMark__5558_60934169"/>
      <w:bookmarkStart w:id="1586" w:name="__UnoMark__5269_60934169"/>
      <w:bookmarkStart w:id="1587" w:name="__UnoMark__6067_2060183323"/>
      <w:bookmarkStart w:id="1588" w:name="__UnoMark__5838_2060183323"/>
      <w:bookmarkStart w:id="1589" w:name="__UnoMark__5644_2060183323"/>
      <w:bookmarkStart w:id="1590" w:name="ZOTERO_BREF_gNmjooZgczXm"/>
      <w:bookmarkStart w:id="1591" w:name="__UnoMark__5438_2060183323"/>
      <w:bookmarkStart w:id="1592" w:name="__UnoMark__2536_2050315779"/>
      <w:bookmarkStart w:id="1593" w:name="__UnoMark__3139_1689624541"/>
      <w:bookmarkStart w:id="1594" w:name="__UnoMark__3486_1689624541"/>
      <w:bookmarkStart w:id="1595" w:name="__UnoMark__4849_41873585"/>
      <w:bookmarkStart w:id="1596" w:name="__UnoMark__5338_41873585"/>
      <w:bookmarkStart w:id="1597" w:name="__UnoMark__5851_41873585"/>
      <w:bookmarkStart w:id="1598" w:name="__UnoMark__6942_41873585"/>
      <w:bookmarkStart w:id="1599" w:name="__UnoMark__7420_41873585"/>
      <w:bookmarkStart w:id="1600" w:name="__UnoMark__5774_1443136783"/>
      <w:bookmarkStart w:id="1601" w:name="__UnoMark__11844_722878254"/>
      <w:bookmarkStart w:id="1602" w:name="__UnoMark__12512_722878254"/>
      <w:bookmarkStart w:id="1603" w:name="__UnoMark__13193_722878254"/>
      <w:bookmarkStart w:id="1604" w:name="__UnoMark__7141_1586897740"/>
      <w:bookmarkStart w:id="1605" w:name="__UnoMark__14947_1661744717"/>
      <w:bookmarkStart w:id="1606" w:name="__UnoMark__15821_1661744717"/>
      <w:bookmarkStart w:id="1607" w:name="__UnoMark__16695_1661744717"/>
      <w:bookmarkStart w:id="1608" w:name="__UnoMark__17586_1661744717"/>
      <w:bookmarkStart w:id="1609" w:name="__UnoMark__17906_1661744717"/>
      <w:bookmarkStart w:id="1610" w:name="__UnoMark__6344_41873585"/>
      <w:bookmarkStart w:id="1611" w:name="__UnoMark__18482_1880123655"/>
      <w:bookmarkStart w:id="1612" w:name="__UnoMark__17371_1880123655"/>
      <w:bookmarkStart w:id="1613" w:name="__UnoMark__16324_1880123655"/>
      <w:bookmarkStart w:id="1614" w:name="__UnoMark__10981_283745954"/>
      <w:bookmarkStart w:id="1615" w:name="__UnoMark__10700_283745954"/>
      <w:bookmarkStart w:id="1616" w:name="__UnoMark__9604_283745954"/>
      <w:bookmarkStart w:id="1617" w:name="__UnoMark__8783_283745954"/>
      <w:bookmarkStart w:id="1618" w:name="__UnoMark__9430_435217427"/>
      <w:bookmarkStart w:id="1619" w:name="__UnoMark__25351_497913431"/>
      <w:bookmarkStart w:id="1620" w:name="__UnoMark__24490_497913431"/>
      <w:bookmarkStart w:id="1621" w:name="__UnoMark__23774_497913431"/>
      <w:bookmarkStart w:id="1622" w:name="__UnoMark__23070_497913431"/>
      <w:bookmarkStart w:id="1623" w:name="__UnoMark__22311_497913431"/>
      <w:bookmarkStart w:id="1624" w:name="__UnoMark__7925_497913431"/>
      <w:bookmarkStart w:id="1625" w:name="__UnoMark__6160_60934169"/>
      <w:bookmarkStart w:id="1626" w:name="__UnoMark__10780_1492540610"/>
      <w:bookmarkStart w:id="1627" w:name="__UnoMark__10146_1492540610"/>
      <w:bookmarkStart w:id="1628" w:name="__UnoMark__9547_1492540610"/>
      <w:bookmarkStart w:id="1629" w:name="__UnoMark__8951_1492540610"/>
      <w:bookmarkStart w:id="1630" w:name="__UnoMark__6101_1492540610"/>
      <w:bookmarkStart w:id="1631" w:name="__UnoMark__5516_1492540610"/>
      <w:bookmarkStart w:id="1632" w:name="__UnoMark__4205_599023520"/>
      <w:bookmarkStart w:id="1633" w:name="__UnoMark__3688_599023520"/>
      <w:bookmarkStart w:id="1634" w:name="__UnoMark__12905_1244819659"/>
      <w:bookmarkStart w:id="1635" w:name="__UnoMark__12762_1244819659"/>
      <w:bookmarkStart w:id="1636" w:name="__UnoMark__12331_1244819659"/>
      <w:bookmarkStart w:id="1637" w:name="__UnoMark__4406_348219782"/>
      <w:bookmarkStart w:id="1638" w:name="__UnoMark__3972_348219782"/>
      <w:bookmarkStart w:id="1639" w:name="__UnoMark__6802_60934169"/>
      <w:bookmarkStart w:id="1640" w:name="__UnoMark__6488_60934169"/>
      <w:bookmarkStart w:id="1641" w:name="__UnoMark__11400_1492540610"/>
      <w:bookmarkStart w:id="1642" w:name="__UnoMark__27287_836371768"/>
      <w:bookmarkStart w:id="1643" w:name="__UnoMark__28432_836371768"/>
      <w:bookmarkStart w:id="1644" w:name="__UnoMark__29606_836371768"/>
      <w:bookmarkStart w:id="1645" w:name="__UnoMark__30767_836371768"/>
      <w:bookmarkStart w:id="1646" w:name="__UnoMark__40757_2025191570"/>
      <w:bookmarkStart w:id="1647" w:name="__UnoMark__41973_2025191570"/>
      <w:bookmarkStart w:id="1648" w:name="__UnoMark__43224_2025191570"/>
      <w:bookmarkStart w:id="1649" w:name="__UnoMark__44484_2025191570"/>
      <w:r>
        <w:rPr>
          <w:color w:val="00000A"/>
          <w:lang w:val="en-US" w:eastAsia="ja-JP"/>
        </w:rPr>
        <w:t>(Ingold, 2000b, p. 193)</w:t>
      </w:r>
      <w:bookmarkStart w:id="1650" w:name="__UnoMark__5508_2060183323"/>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r>
        <w:rPr>
          <w:color w:val="00000A"/>
          <w:lang w:val="en-US" w:eastAsia="ja-JP"/>
        </w:rPr>
        <w:t xml:space="preserve">.  A landscape is neither land nor space, as dwelling is experienced on on a landscape, as contrasted to mapping a territory as an abstract representation.  The </w:t>
      </w:r>
      <w:r>
        <w:rPr>
          <w:i/>
          <w:iCs/>
          <w:color w:val="00000A"/>
          <w:lang w:val="en-US" w:eastAsia="ja-JP"/>
        </w:rPr>
        <w:t>when</w:t>
      </w:r>
      <w:r>
        <w:rPr>
          <w:color w:val="00000A"/>
          <w:lang w:val="en-US" w:eastAsia="ja-JP"/>
        </w:rPr>
        <w:t xml:space="preserve"> is in a taskscape, where "every tasks takes its meaning from its position within an ensemble of tasks, performed in series or in parallel, and usually by many people working together" </w:t>
      </w:r>
      <w:bookmarkStart w:id="1651" w:name="__UnoMark__23543_140394355"/>
      <w:bookmarkStart w:id="1652" w:name="__UnoMark__17322_140394355"/>
      <w:bookmarkStart w:id="1653" w:name="__UnoMark__15936_140394355"/>
      <w:bookmarkStart w:id="1654" w:name="__UnoMark__5826_60934169"/>
      <w:bookmarkStart w:id="1655" w:name="__UnoMark__5559_60934169"/>
      <w:bookmarkStart w:id="1656" w:name="__UnoMark__5270_60934169"/>
      <w:bookmarkStart w:id="1657" w:name="__UnoMark__6068_2060183323"/>
      <w:bookmarkStart w:id="1658" w:name="__UnoMark__5839_2060183323"/>
      <w:bookmarkStart w:id="1659" w:name="ZOTERO_BREF_0TIDmiMIoBLI"/>
      <w:bookmarkStart w:id="1660" w:name="__UnoMark__5646_2060183323"/>
      <w:bookmarkStart w:id="1661" w:name="__UnoMark__2537_2050315779"/>
      <w:bookmarkStart w:id="1662" w:name="__UnoMark__3140_1689624541"/>
      <w:bookmarkStart w:id="1663" w:name="__UnoMark__3487_1689624541"/>
      <w:bookmarkStart w:id="1664" w:name="__UnoMark__4850_41873585"/>
      <w:bookmarkStart w:id="1665" w:name="__UnoMark__5339_41873585"/>
      <w:bookmarkStart w:id="1666" w:name="__UnoMark__5852_41873585"/>
      <w:bookmarkStart w:id="1667" w:name="__UnoMark__6345_41873585"/>
      <w:bookmarkStart w:id="1668" w:name="__UnoMark__7421_41873585"/>
      <w:bookmarkStart w:id="1669" w:name="__UnoMark__5775_1443136783"/>
      <w:bookmarkStart w:id="1670" w:name="__UnoMark__11845_722878254"/>
      <w:bookmarkStart w:id="1671" w:name="__UnoMark__12513_722878254"/>
      <w:bookmarkStart w:id="1672" w:name="__UnoMark__13194_722878254"/>
      <w:bookmarkStart w:id="1673" w:name="__UnoMark__7142_1586897740"/>
      <w:bookmarkStart w:id="1674" w:name="__UnoMark__14948_1661744717"/>
      <w:bookmarkStart w:id="1675" w:name="__UnoMark__15822_1661744717"/>
      <w:bookmarkStart w:id="1676" w:name="__UnoMark__16696_1661744717"/>
      <w:bookmarkStart w:id="1677" w:name="__UnoMark__17587_1661744717"/>
      <w:bookmarkStart w:id="1678" w:name="__UnoMark__17907_1661744717"/>
      <w:bookmarkStart w:id="1679" w:name="__UnoMark__6161_60934169"/>
      <w:bookmarkStart w:id="1680" w:name="__UnoMark__6943_41873585"/>
      <w:bookmarkStart w:id="1681" w:name="__UnoMark__17372_1880123655"/>
      <w:bookmarkStart w:id="1682" w:name="__UnoMark__16325_1880123655"/>
      <w:bookmarkStart w:id="1683" w:name="__UnoMark__10982_283745954"/>
      <w:bookmarkStart w:id="1684" w:name="__UnoMark__10701_283745954"/>
      <w:bookmarkStart w:id="1685" w:name="__UnoMark__9605_283745954"/>
      <w:bookmarkStart w:id="1686" w:name="__UnoMark__8784_283745954"/>
      <w:bookmarkStart w:id="1687" w:name="__UnoMark__9431_435217427"/>
      <w:bookmarkStart w:id="1688" w:name="__UnoMark__25352_497913431"/>
      <w:bookmarkStart w:id="1689" w:name="__UnoMark__24491_497913431"/>
      <w:bookmarkStart w:id="1690" w:name="__UnoMark__23775_497913431"/>
      <w:bookmarkStart w:id="1691" w:name="__UnoMark__23071_497913431"/>
      <w:bookmarkStart w:id="1692" w:name="__UnoMark__22312_497913431"/>
      <w:bookmarkStart w:id="1693" w:name="__UnoMark__7926_497913431"/>
      <w:bookmarkStart w:id="1694" w:name="__UnoMark__11401_1492540610"/>
      <w:bookmarkStart w:id="1695" w:name="__UnoMark__18483_1880123655"/>
      <w:bookmarkStart w:id="1696" w:name="__UnoMark__10147_1492540610"/>
      <w:bookmarkStart w:id="1697" w:name="__UnoMark__9548_1492540610"/>
      <w:bookmarkStart w:id="1698" w:name="__UnoMark__8952_1492540610"/>
      <w:bookmarkStart w:id="1699" w:name="__UnoMark__6102_1492540610"/>
      <w:bookmarkStart w:id="1700" w:name="__UnoMark__5517_1492540610"/>
      <w:bookmarkStart w:id="1701" w:name="__UnoMark__4206_599023520"/>
      <w:bookmarkStart w:id="1702" w:name="__UnoMark__3689_599023520"/>
      <w:bookmarkStart w:id="1703" w:name="__UnoMark__12906_1244819659"/>
      <w:bookmarkStart w:id="1704" w:name="__UnoMark__12763_1244819659"/>
      <w:bookmarkStart w:id="1705" w:name="__UnoMark__12332_1244819659"/>
      <w:bookmarkStart w:id="1706" w:name="__UnoMark__4407_348219782"/>
      <w:bookmarkStart w:id="1707" w:name="__UnoMark__3973_348219782"/>
      <w:bookmarkStart w:id="1708" w:name="__UnoMark__6803_60934169"/>
      <w:bookmarkStart w:id="1709" w:name="__UnoMark__6489_60934169"/>
      <w:bookmarkStart w:id="1710" w:name="__UnoMark__10781_1492540610"/>
      <w:bookmarkStart w:id="1711" w:name="__UnoMark__27288_836371768"/>
      <w:bookmarkStart w:id="1712" w:name="__UnoMark__28433_836371768"/>
      <w:bookmarkStart w:id="1713" w:name="__UnoMark__29607_836371768"/>
      <w:bookmarkStart w:id="1714" w:name="__UnoMark__30768_836371768"/>
      <w:bookmarkStart w:id="1715" w:name="__UnoMark__40758_2025191570"/>
      <w:bookmarkStart w:id="1716" w:name="__UnoMark__41974_2025191570"/>
      <w:bookmarkStart w:id="1717" w:name="__UnoMark__43225_2025191570"/>
      <w:bookmarkStart w:id="1718" w:name="__UnoMark__44485_2025191570"/>
      <w:r>
        <w:rPr>
          <w:color w:val="00000A"/>
          <w:lang w:val="en-US" w:eastAsia="ja-JP"/>
        </w:rPr>
        <w:t>(Ingold, 2000b, p. 195)</w:t>
      </w:r>
      <w:bookmarkStart w:id="1719" w:name="__UnoMark__5706_2060183323"/>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Pr>
          <w:color w:val="00000A"/>
          <w:lang w:val="en-US" w:eastAsia="ja-JP"/>
        </w:rPr>
        <w:t>.  This practice-based perspective on time contrasts to the chronology (a regular system of dated time intervals) and history (a series of events dated in time).</w:t>
      </w:r>
    </w:p>
    <w:p>
      <w:pPr>
        <w:pStyle w:val="Normal"/>
        <w:rPr/>
      </w:pPr>
      <w:r>
        <w:rPr>
          <w:i/>
          <w:iCs/>
          <w:color w:val="00000A"/>
          <w:lang w:val="en-US" w:eastAsia="ja-JP"/>
        </w:rPr>
        <w:t>(v) Containing systems</w:t>
      </w:r>
      <w:r>
        <w:rPr>
          <w:color w:val="00000A"/>
          <w:lang w:val="en-US" w:eastAsia="ja-JP"/>
        </w:rPr>
        <w:t xml:space="preserve"> for the pattern are at a larger scale and slower pace.  Multiple patterns can exist as the same levels of scale and pace, within an panarchical adaptive cycle of accumulation and transformation of resources in four phases: exploitation (r), conservation (K),  release (</w:t>
      </w:r>
      <w:r>
        <w:rPr>
          <w:rFonts w:eastAsia="" w:cs="Times New Roman"/>
          <w:color w:val="00000A"/>
          <w:lang w:val="en-US" w:eastAsia="ja-JP"/>
        </w:rPr>
        <w:t xml:space="preserve">Ω) and reorganization (α) </w:t>
      </w:r>
      <w:bookmarkStart w:id="1720" w:name="__UnoMark__23544_140394355"/>
      <w:bookmarkStart w:id="1721" w:name="__UnoMark__17323_140394355"/>
      <w:bookmarkStart w:id="1722" w:name="__UnoMark__15937_140394355"/>
      <w:bookmarkStart w:id="1723" w:name="__UnoMark__6162_60934169"/>
      <w:bookmarkStart w:id="1724" w:name="__UnoMark__5827_60934169"/>
      <w:bookmarkStart w:id="1725" w:name="__UnoMark__5560_60934169"/>
      <w:bookmarkStart w:id="1726" w:name="__UnoMark__5271_60934169"/>
      <w:bookmarkStart w:id="1727" w:name="ZOTERO_BREF_KSibKpQBYZTc"/>
      <w:bookmarkStart w:id="1728" w:name="__UnoMark__6055_2060183323"/>
      <w:bookmarkStart w:id="1729" w:name="__UnoMark__2538_2050315779"/>
      <w:bookmarkStart w:id="1730" w:name="__UnoMark__3141_1689624541"/>
      <w:bookmarkStart w:id="1731" w:name="__UnoMark__3488_1689624541"/>
      <w:bookmarkStart w:id="1732" w:name="__UnoMark__4851_41873585"/>
      <w:bookmarkStart w:id="1733" w:name="__UnoMark__5340_41873585"/>
      <w:bookmarkStart w:id="1734" w:name="__UnoMark__5853_41873585"/>
      <w:bookmarkStart w:id="1735" w:name="__UnoMark__6346_41873585"/>
      <w:bookmarkStart w:id="1736" w:name="__UnoMark__6944_41873585"/>
      <w:bookmarkStart w:id="1737" w:name="__UnoMark__5776_1443136783"/>
      <w:bookmarkStart w:id="1738" w:name="__UnoMark__11846_722878254"/>
      <w:bookmarkStart w:id="1739" w:name="__UnoMark__12514_722878254"/>
      <w:bookmarkStart w:id="1740" w:name="__UnoMark__13195_722878254"/>
      <w:bookmarkStart w:id="1741" w:name="__UnoMark__7143_1586897740"/>
      <w:bookmarkStart w:id="1742" w:name="__UnoMark__14949_1661744717"/>
      <w:bookmarkStart w:id="1743" w:name="__UnoMark__15823_1661744717"/>
      <w:bookmarkStart w:id="1744" w:name="__UnoMark__16697_1661744717"/>
      <w:bookmarkStart w:id="1745" w:name="__UnoMark__17588_1661744717"/>
      <w:bookmarkStart w:id="1746" w:name="__UnoMark__17908_1661744717"/>
      <w:bookmarkStart w:id="1747" w:name="__UnoMark__6490_60934169"/>
      <w:bookmarkStart w:id="1748" w:name="__UnoMark__7422_41873585"/>
      <w:bookmarkStart w:id="1749" w:name="__UnoMark__17373_1880123655"/>
      <w:bookmarkStart w:id="1750" w:name="__UnoMark__16326_1880123655"/>
      <w:bookmarkStart w:id="1751" w:name="__UnoMark__10983_283745954"/>
      <w:bookmarkStart w:id="1752" w:name="__UnoMark__10702_283745954"/>
      <w:bookmarkStart w:id="1753" w:name="__UnoMark__9606_283745954"/>
      <w:bookmarkStart w:id="1754" w:name="__UnoMark__8785_283745954"/>
      <w:bookmarkStart w:id="1755" w:name="__UnoMark__9432_435217427"/>
      <w:bookmarkStart w:id="1756" w:name="__UnoMark__25353_497913431"/>
      <w:bookmarkStart w:id="1757" w:name="__UnoMark__24492_497913431"/>
      <w:bookmarkStart w:id="1758" w:name="__UnoMark__23776_497913431"/>
      <w:bookmarkStart w:id="1759" w:name="__UnoMark__23072_497913431"/>
      <w:bookmarkStart w:id="1760" w:name="__UnoMark__22313_497913431"/>
      <w:bookmarkStart w:id="1761" w:name="__UnoMark__7927_497913431"/>
      <w:bookmarkStart w:id="1762" w:name="__UnoMark__18484_1880123655"/>
      <w:bookmarkStart w:id="1763" w:name="__UnoMark__10782_1492540610"/>
      <w:bookmarkStart w:id="1764" w:name="__UnoMark__10148_1492540610"/>
      <w:bookmarkStart w:id="1765" w:name="__UnoMark__9549_1492540610"/>
      <w:bookmarkStart w:id="1766" w:name="__UnoMark__8953_1492540610"/>
      <w:bookmarkStart w:id="1767" w:name="__UnoMark__6103_1492540610"/>
      <w:bookmarkStart w:id="1768" w:name="__UnoMark__5518_1492540610"/>
      <w:bookmarkStart w:id="1769" w:name="__UnoMark__4207_599023520"/>
      <w:bookmarkStart w:id="1770" w:name="__UnoMark__3690_599023520"/>
      <w:bookmarkStart w:id="1771" w:name="__UnoMark__12907_1244819659"/>
      <w:bookmarkStart w:id="1772" w:name="__UnoMark__12764_1244819659"/>
      <w:bookmarkStart w:id="1773" w:name="__UnoMark__12333_1244819659"/>
      <w:bookmarkStart w:id="1774" w:name="__UnoMark__4408_348219782"/>
      <w:bookmarkStart w:id="1775" w:name="__UnoMark__3974_348219782"/>
      <w:bookmarkStart w:id="1776" w:name="__UnoMark__6804_60934169"/>
      <w:bookmarkStart w:id="1777" w:name="__UnoMark__11402_1492540610"/>
      <w:bookmarkStart w:id="1778" w:name="__UnoMark__27289_836371768"/>
      <w:bookmarkStart w:id="1779" w:name="__UnoMark__28434_836371768"/>
      <w:bookmarkStart w:id="1780" w:name="__UnoMark__29608_836371768"/>
      <w:bookmarkStart w:id="1781" w:name="__UnoMark__30769_836371768"/>
      <w:bookmarkStart w:id="1782" w:name="__UnoMark__40759_2025191570"/>
      <w:bookmarkStart w:id="1783" w:name="__UnoMark__41975_2025191570"/>
      <w:bookmarkStart w:id="1784" w:name="__UnoMark__43226_2025191570"/>
      <w:bookmarkStart w:id="1785" w:name="__UnoMark__44486_2025191570"/>
      <w:r>
        <w:rPr>
          <w:rFonts w:eastAsia="" w:cs="Times New Roman"/>
          <w:color w:val="00000A"/>
          <w:lang w:val="en-US" w:eastAsia="ja-JP"/>
        </w:rPr>
        <w:t>(Holling, 2001, p. 394)</w:t>
      </w:r>
      <w:bookmarkStart w:id="1786" w:name="__UnoMark__6119_2060183323"/>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rPr>
          <w:rFonts w:eastAsia="" w:cs="Times New Roman"/>
          <w:color w:val="00000A"/>
          <w:lang w:val="en-US" w:eastAsia="ja-JP"/>
        </w:rPr>
        <w:t xml:space="preserve">.  </w:t>
      </w:r>
      <w:r>
        <w:rPr>
          <w:color w:val="00000A"/>
          <w:lang w:val="en-US" w:eastAsia="ja-JP"/>
        </w:rPr>
        <w:t xml:space="preserve">  At times of change and renewal, the "remember" cross-scale interaction from larger and slower levels helps to regenerate an ecosystem:  "Once a catastrophe is triggered at one level, the opportunities for, or constraints against, the renewal of the cycle are strongly influenced by the K phase of the next slower and larger level. [….]  It is as if this connection draws on the accumulated wisdom and experiences of maturity; hence, the word "remember" </w:t>
      </w:r>
      <w:bookmarkStart w:id="1787" w:name="__UnoMark__23545_140394355"/>
      <w:bookmarkStart w:id="1788" w:name="__UnoMark__17324_140394355"/>
      <w:bookmarkStart w:id="1789" w:name="__UnoMark__15938_140394355"/>
      <w:bookmarkStart w:id="1790" w:name="__UnoMark__6347_41873585"/>
      <w:bookmarkStart w:id="1791" w:name="__UnoMark__5854_41873585"/>
      <w:bookmarkStart w:id="1792" w:name="__UnoMark__5341_41873585"/>
      <w:bookmarkStart w:id="1793" w:name="__UnoMark__4852_41873585"/>
      <w:bookmarkStart w:id="1794" w:name="__UnoMark__3489_1689624541"/>
      <w:bookmarkStart w:id="1795" w:name="__UnoMark__3142_1689624541"/>
      <w:bookmarkStart w:id="1796" w:name="__UnoMark__2539_2050315779"/>
      <w:bookmarkStart w:id="1797" w:name="ZOTERO_BREF_f3n3UqxJLfbI"/>
      <w:bookmarkStart w:id="1798" w:name="__UnoMark__5272_60934169"/>
      <w:bookmarkStart w:id="1799" w:name="__UnoMark__5561_60934169"/>
      <w:bookmarkStart w:id="1800" w:name="__UnoMark__5828_60934169"/>
      <w:bookmarkStart w:id="1801" w:name="__UnoMark__7423_41873585"/>
      <w:bookmarkStart w:id="1802" w:name="__UnoMark__6945_41873585"/>
      <w:bookmarkStart w:id="1803" w:name="__UnoMark__5777_1443136783"/>
      <w:bookmarkStart w:id="1804" w:name="__UnoMark__11847_722878254"/>
      <w:bookmarkStart w:id="1805" w:name="__UnoMark__12515_722878254"/>
      <w:bookmarkStart w:id="1806" w:name="__UnoMark__13196_722878254"/>
      <w:bookmarkStart w:id="1807" w:name="__UnoMark__7144_1586897740"/>
      <w:bookmarkStart w:id="1808" w:name="__UnoMark__14950_1661744717"/>
      <w:bookmarkStart w:id="1809" w:name="__UnoMark__15824_1661744717"/>
      <w:bookmarkStart w:id="1810" w:name="__UnoMark__16698_1661744717"/>
      <w:bookmarkStart w:id="1811" w:name="__UnoMark__17589_1661744717"/>
      <w:bookmarkStart w:id="1812" w:name="__UnoMark__17909_1661744717"/>
      <w:bookmarkStart w:id="1813" w:name="__UnoMark__6805_60934169"/>
      <w:bookmarkStart w:id="1814" w:name="__UnoMark__6163_60934169"/>
      <w:bookmarkStart w:id="1815" w:name="__UnoMark__17374_1880123655"/>
      <w:bookmarkStart w:id="1816" w:name="__UnoMark__16327_1880123655"/>
      <w:bookmarkStart w:id="1817" w:name="__UnoMark__10984_283745954"/>
      <w:bookmarkStart w:id="1818" w:name="__UnoMark__10703_283745954"/>
      <w:bookmarkStart w:id="1819" w:name="__UnoMark__9607_283745954"/>
      <w:bookmarkStart w:id="1820" w:name="__UnoMark__8786_283745954"/>
      <w:bookmarkStart w:id="1821" w:name="__UnoMark__9433_435217427"/>
      <w:bookmarkStart w:id="1822" w:name="__UnoMark__25354_497913431"/>
      <w:bookmarkStart w:id="1823" w:name="__UnoMark__24493_497913431"/>
      <w:bookmarkStart w:id="1824" w:name="__UnoMark__23777_497913431"/>
      <w:bookmarkStart w:id="1825" w:name="__UnoMark__23073_497913431"/>
      <w:bookmarkStart w:id="1826" w:name="__UnoMark__22314_497913431"/>
      <w:bookmarkStart w:id="1827" w:name="__UnoMark__7928_497913431"/>
      <w:bookmarkStart w:id="1828" w:name="__UnoMark__18485_1880123655"/>
      <w:bookmarkStart w:id="1829" w:name="__UnoMark__10783_1492540610"/>
      <w:bookmarkStart w:id="1830" w:name="__UnoMark__10149_1492540610"/>
      <w:bookmarkStart w:id="1831" w:name="__UnoMark__9550_1492540610"/>
      <w:bookmarkStart w:id="1832" w:name="__UnoMark__8954_1492540610"/>
      <w:bookmarkStart w:id="1833" w:name="__UnoMark__6104_1492540610"/>
      <w:bookmarkStart w:id="1834" w:name="__UnoMark__5519_1492540610"/>
      <w:bookmarkStart w:id="1835" w:name="__UnoMark__4208_599023520"/>
      <w:bookmarkStart w:id="1836" w:name="__UnoMark__3691_599023520"/>
      <w:bookmarkStart w:id="1837" w:name="__UnoMark__12908_1244819659"/>
      <w:bookmarkStart w:id="1838" w:name="__UnoMark__12765_1244819659"/>
      <w:bookmarkStart w:id="1839" w:name="__UnoMark__12334_1244819659"/>
      <w:bookmarkStart w:id="1840" w:name="__UnoMark__4409_348219782"/>
      <w:bookmarkStart w:id="1841" w:name="__UnoMark__6491_60934169"/>
      <w:bookmarkStart w:id="1842" w:name="__UnoMark__3975_348219782"/>
      <w:bookmarkStart w:id="1843" w:name="__UnoMark__11403_1492540610"/>
      <w:bookmarkStart w:id="1844" w:name="__UnoMark__27290_836371768"/>
      <w:bookmarkStart w:id="1845" w:name="__UnoMark__28435_836371768"/>
      <w:bookmarkStart w:id="1846" w:name="__UnoMark__29609_836371768"/>
      <w:bookmarkStart w:id="1847" w:name="__UnoMark__30770_836371768"/>
      <w:bookmarkStart w:id="1848" w:name="__UnoMark__40760_2025191570"/>
      <w:bookmarkStart w:id="1849" w:name="__UnoMark__41976_2025191570"/>
      <w:bookmarkStart w:id="1850" w:name="__UnoMark__43227_2025191570"/>
      <w:bookmarkStart w:id="1851" w:name="__UnoMark__44487_2025191570"/>
      <w:r>
        <w:rPr>
          <w:color w:val="00000A"/>
          <w:lang w:val="en-US" w:eastAsia="ja-JP"/>
        </w:rPr>
        <w:t>(Holling, 2001, p. 398)</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Pr>
          <w:color w:val="00000A"/>
          <w:lang w:val="en-US" w:eastAsia="ja-JP"/>
        </w:rPr>
        <w:t xml:space="preserve">.  In forests, the containing biotic legacies include seeds and surviving species.  Insights from the shearing layers in buildings </w:t>
      </w:r>
      <w:bookmarkStart w:id="1852" w:name="__UnoMark__23546_140394355"/>
      <w:bookmarkStart w:id="1853" w:name="__UnoMark__17325_140394355"/>
      <w:bookmarkStart w:id="1854" w:name="__UnoMark__15939_140394355"/>
      <w:bookmarkStart w:id="1855" w:name="__UnoMark__3143_1689624541"/>
      <w:bookmarkStart w:id="1856" w:name="__UnoMark__6348_41873585"/>
      <w:bookmarkStart w:id="1857" w:name="__UnoMark__5855_41873585"/>
      <w:bookmarkStart w:id="1858" w:name="__UnoMark__5342_41873585"/>
      <w:bookmarkStart w:id="1859" w:name="__UnoMark__4853_41873585"/>
      <w:bookmarkStart w:id="1860" w:name="__UnoMark__3490_1689624541"/>
      <w:bookmarkStart w:id="1861" w:name="__UnoMark__2540_2050315779"/>
      <w:bookmarkStart w:id="1862" w:name="ZOTERO_BREF_NtiDbF2IAUEG"/>
      <w:bookmarkStart w:id="1863" w:name="__UnoMark__5273_60934169"/>
      <w:bookmarkStart w:id="1864" w:name="__UnoMark__5562_60934169"/>
      <w:bookmarkStart w:id="1865" w:name="__UnoMark__5829_60934169"/>
      <w:bookmarkStart w:id="1866" w:name="__UnoMark__6164_60934169"/>
      <w:bookmarkStart w:id="1867" w:name="__UnoMark__7424_41873585"/>
      <w:bookmarkStart w:id="1868" w:name="__UnoMark__6946_41873585"/>
      <w:bookmarkStart w:id="1869" w:name="__UnoMark__5778_1443136783"/>
      <w:bookmarkStart w:id="1870" w:name="__UnoMark__11848_722878254"/>
      <w:bookmarkStart w:id="1871" w:name="__UnoMark__12516_722878254"/>
      <w:bookmarkStart w:id="1872" w:name="__UnoMark__13197_722878254"/>
      <w:bookmarkStart w:id="1873" w:name="__UnoMark__7145_1586897740"/>
      <w:bookmarkStart w:id="1874" w:name="__UnoMark__14951_1661744717"/>
      <w:bookmarkStart w:id="1875" w:name="__UnoMark__15825_1661744717"/>
      <w:bookmarkStart w:id="1876" w:name="__UnoMark__16699_1661744717"/>
      <w:bookmarkStart w:id="1877" w:name="__UnoMark__17590_1661744717"/>
      <w:bookmarkStart w:id="1878" w:name="__UnoMark__17910_1661744717"/>
      <w:bookmarkStart w:id="1879" w:name="__UnoMark__6806_60934169"/>
      <w:bookmarkStart w:id="1880" w:name="__UnoMark__6492_60934169"/>
      <w:bookmarkStart w:id="1881" w:name="__UnoMark__18486_1880123655"/>
      <w:bookmarkStart w:id="1882" w:name="__UnoMark__17375_1880123655"/>
      <w:bookmarkStart w:id="1883" w:name="__UnoMark__16328_1880123655"/>
      <w:bookmarkStart w:id="1884" w:name="__UnoMark__10985_283745954"/>
      <w:bookmarkStart w:id="1885" w:name="__UnoMark__10704_283745954"/>
      <w:bookmarkStart w:id="1886" w:name="__UnoMark__9608_283745954"/>
      <w:bookmarkStart w:id="1887" w:name="__UnoMark__8787_283745954"/>
      <w:bookmarkStart w:id="1888" w:name="__UnoMark__9434_435217427"/>
      <w:bookmarkStart w:id="1889" w:name="__UnoMark__25355_497913431"/>
      <w:bookmarkStart w:id="1890" w:name="__UnoMark__24494_497913431"/>
      <w:bookmarkStart w:id="1891" w:name="__UnoMark__23778_497913431"/>
      <w:bookmarkStart w:id="1892" w:name="__UnoMark__23074_497913431"/>
      <w:bookmarkStart w:id="1893" w:name="__UnoMark__22315_497913431"/>
      <w:bookmarkStart w:id="1894" w:name="__UnoMark__7929_497913431"/>
      <w:bookmarkStart w:id="1895" w:name="__UnoMark__3976_348219782"/>
      <w:bookmarkStart w:id="1896" w:name="__UnoMark__4410_348219782"/>
      <w:bookmarkStart w:id="1897" w:name="__UnoMark__12335_1244819659"/>
      <w:bookmarkStart w:id="1898" w:name="__UnoMark__12766_1244819659"/>
      <w:bookmarkStart w:id="1899" w:name="__UnoMark__12909_1244819659"/>
      <w:bookmarkStart w:id="1900" w:name="__UnoMark__3692_599023520"/>
      <w:bookmarkStart w:id="1901" w:name="__UnoMark__4209_599023520"/>
      <w:bookmarkStart w:id="1902" w:name="__UnoMark__5520_1492540610"/>
      <w:bookmarkStart w:id="1903" w:name="__UnoMark__6105_1492540610"/>
      <w:bookmarkStart w:id="1904" w:name="__UnoMark__8955_1492540610"/>
      <w:bookmarkStart w:id="1905" w:name="__UnoMark__9551_1492540610"/>
      <w:bookmarkStart w:id="1906" w:name="__UnoMark__10150_1492540610"/>
      <w:bookmarkStart w:id="1907" w:name="__UnoMark__10784_1492540610"/>
      <w:bookmarkStart w:id="1908" w:name="__UnoMark__11404_1492540610"/>
      <w:bookmarkStart w:id="1909" w:name="__UnoMark__27291_836371768"/>
      <w:bookmarkStart w:id="1910" w:name="__UnoMark__28436_836371768"/>
      <w:bookmarkStart w:id="1911" w:name="__UnoMark__29610_836371768"/>
      <w:bookmarkStart w:id="1912" w:name="__UnoMark__30771_836371768"/>
      <w:bookmarkStart w:id="1913" w:name="__UnoMark__40761_2025191570"/>
      <w:bookmarkStart w:id="1914" w:name="__UnoMark__41977_2025191570"/>
      <w:bookmarkStart w:id="1915" w:name="__UnoMark__43228_2025191570"/>
      <w:bookmarkStart w:id="1916" w:name="__UnoMark__44488_2025191570"/>
      <w:r>
        <w:rPr>
          <w:color w:val="00000A"/>
          <w:lang w:val="en-US" w:eastAsia="ja-JP"/>
        </w:rPr>
        <w:t>(Brand, 1994)</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Pr>
          <w:color w:val="00000A"/>
          <w:lang w:val="en-US" w:eastAsia="ja-JP"/>
        </w:rPr>
        <w:t xml:space="preserve"> have evolved to be portrayed as fast and slow pacing layers for society as a whole </w:t>
      </w:r>
      <w:bookmarkStart w:id="1917" w:name="__UnoMark__23547_140394355"/>
      <w:bookmarkStart w:id="1918" w:name="__UnoMark__17326_140394355"/>
      <w:bookmarkStart w:id="1919" w:name="__UnoMark__15940_140394355"/>
      <w:bookmarkStart w:id="1920" w:name="__UnoMark__2541_2050315779"/>
      <w:bookmarkStart w:id="1921" w:name="__UnoMark__5856_41873585"/>
      <w:bookmarkStart w:id="1922" w:name="__UnoMark__5343_41873585"/>
      <w:bookmarkStart w:id="1923" w:name="__UnoMark__4854_41873585"/>
      <w:bookmarkStart w:id="1924" w:name="__UnoMark__3491_1689624541"/>
      <w:bookmarkStart w:id="1925" w:name="__UnoMark__3144_1689624541"/>
      <w:bookmarkStart w:id="1926" w:name="ZOTERO_BREF_mK6nQkuUhNcz"/>
      <w:bookmarkStart w:id="1927" w:name="__UnoMark__5274_60934169"/>
      <w:bookmarkStart w:id="1928" w:name="__UnoMark__5563_60934169"/>
      <w:bookmarkStart w:id="1929" w:name="__UnoMark__5830_60934169"/>
      <w:bookmarkStart w:id="1930" w:name="__UnoMark__6165_60934169"/>
      <w:bookmarkStart w:id="1931" w:name="__UnoMark__6947_41873585"/>
      <w:bookmarkStart w:id="1932" w:name="__UnoMark__6349_41873585"/>
      <w:bookmarkStart w:id="1933" w:name="__UnoMark__7425_41873585"/>
      <w:bookmarkStart w:id="1934" w:name="__UnoMark__5779_1443136783"/>
      <w:bookmarkStart w:id="1935" w:name="__UnoMark__11849_722878254"/>
      <w:bookmarkStart w:id="1936" w:name="__UnoMark__12517_722878254"/>
      <w:bookmarkStart w:id="1937" w:name="__UnoMark__13198_722878254"/>
      <w:bookmarkStart w:id="1938" w:name="__UnoMark__7146_1586897740"/>
      <w:bookmarkStart w:id="1939" w:name="__UnoMark__14952_1661744717"/>
      <w:bookmarkStart w:id="1940" w:name="__UnoMark__15826_1661744717"/>
      <w:bookmarkStart w:id="1941" w:name="__UnoMark__16700_1661744717"/>
      <w:bookmarkStart w:id="1942" w:name="__UnoMark__17591_1661744717"/>
      <w:bookmarkStart w:id="1943" w:name="__UnoMark__17911_1661744717"/>
      <w:bookmarkStart w:id="1944" w:name="__UnoMark__6493_60934169"/>
      <w:bookmarkStart w:id="1945" w:name="__UnoMark__6807_60934169"/>
      <w:bookmarkStart w:id="1946" w:name="__UnoMark__18487_1880123655"/>
      <w:bookmarkStart w:id="1947" w:name="__UnoMark__17376_1880123655"/>
      <w:bookmarkStart w:id="1948" w:name="__UnoMark__16329_1880123655"/>
      <w:bookmarkStart w:id="1949" w:name="__UnoMark__10986_283745954"/>
      <w:bookmarkStart w:id="1950" w:name="__UnoMark__10705_283745954"/>
      <w:bookmarkStart w:id="1951" w:name="__UnoMark__9609_283745954"/>
      <w:bookmarkStart w:id="1952" w:name="__UnoMark__8788_283745954"/>
      <w:bookmarkStart w:id="1953" w:name="__UnoMark__9435_435217427"/>
      <w:bookmarkStart w:id="1954" w:name="__UnoMark__25356_497913431"/>
      <w:bookmarkStart w:id="1955" w:name="__UnoMark__24495_497913431"/>
      <w:bookmarkStart w:id="1956" w:name="__UnoMark__23779_497913431"/>
      <w:bookmarkStart w:id="1957" w:name="__UnoMark__23075_497913431"/>
      <w:bookmarkStart w:id="1958" w:name="__UnoMark__22316_497913431"/>
      <w:bookmarkStart w:id="1959" w:name="__UnoMark__7930_497913431"/>
      <w:bookmarkStart w:id="1960" w:name="__UnoMark__3977_348219782"/>
      <w:bookmarkStart w:id="1961" w:name="__UnoMark__4411_348219782"/>
      <w:bookmarkStart w:id="1962" w:name="__UnoMark__12336_1244819659"/>
      <w:bookmarkStart w:id="1963" w:name="__UnoMark__12767_1244819659"/>
      <w:bookmarkStart w:id="1964" w:name="__UnoMark__12910_1244819659"/>
      <w:bookmarkStart w:id="1965" w:name="__UnoMark__3693_599023520"/>
      <w:bookmarkStart w:id="1966" w:name="__UnoMark__4210_599023520"/>
      <w:bookmarkStart w:id="1967" w:name="__UnoMark__5521_1492540610"/>
      <w:bookmarkStart w:id="1968" w:name="__UnoMark__6106_1492540610"/>
      <w:bookmarkStart w:id="1969" w:name="__UnoMark__8956_1492540610"/>
      <w:bookmarkStart w:id="1970" w:name="__UnoMark__9552_1492540610"/>
      <w:bookmarkStart w:id="1971" w:name="__UnoMark__10151_1492540610"/>
      <w:bookmarkStart w:id="1972" w:name="__UnoMark__10785_1492540610"/>
      <w:bookmarkStart w:id="1973" w:name="__UnoMark__11405_1492540610"/>
      <w:bookmarkStart w:id="1974" w:name="__UnoMark__27292_836371768"/>
      <w:bookmarkStart w:id="1975" w:name="__UnoMark__28437_836371768"/>
      <w:bookmarkStart w:id="1976" w:name="__UnoMark__29611_836371768"/>
      <w:bookmarkStart w:id="1977" w:name="__UnoMark__30772_836371768"/>
      <w:bookmarkStart w:id="1978" w:name="__UnoMark__40762_2025191570"/>
      <w:bookmarkStart w:id="1979" w:name="__UnoMark__41978_2025191570"/>
      <w:bookmarkStart w:id="1980" w:name="__UnoMark__43229_2025191570"/>
      <w:bookmarkStart w:id="1981" w:name="__UnoMark__44489_2025191570"/>
      <w:r>
        <w:rPr>
          <w:color w:val="00000A"/>
          <w:lang w:val="en-US" w:eastAsia="ja-JP"/>
        </w:rPr>
        <w:t>(Brand, 1999; Em, 2015)</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Pr>
          <w:color w:val="00000A"/>
          <w:lang w:val="en-US" w:eastAsia="ja-JP"/>
        </w:rPr>
        <w:t>.</w:t>
      </w:r>
    </w:p>
    <w:p>
      <w:pPr>
        <w:pStyle w:val="Normal"/>
        <w:rPr/>
      </w:pPr>
      <w:r>
        <w:rPr>
          <w:color w:val="00000A"/>
          <w:lang w:val="en-US" w:eastAsia="ja-JP"/>
        </w:rPr>
        <w:t>In the straw man of Table 2, a containing system may include multiple patterns at the same level.</w:t>
      </w:r>
    </w:p>
    <w:p>
      <w:pPr>
        <w:pStyle w:val="Normal"/>
        <w:rPr/>
      </w:pPr>
      <w:r>
        <w:rPr>
          <w:i/>
          <w:iCs/>
          <w:color w:val="00000A"/>
          <w:u w:val="none"/>
          <w:lang w:val="en-US" w:eastAsia="ja-JP"/>
        </w:rPr>
        <w:t>(vi) Contained systems</w:t>
      </w:r>
      <w:r>
        <w:rPr>
          <w:color w:val="00000A"/>
          <w:lang w:val="en-US" w:eastAsia="ja-JP"/>
        </w:rPr>
        <w:t xml:space="preserve"> for the pattern are at a smaller scale and faster pace.  "When a level in the panarchy enters its </w:t>
      </w:r>
      <w:r>
        <w:rPr>
          <w:rFonts w:eastAsia="" w:cs="Times New Roman"/>
          <w:color w:val="00000A"/>
          <w:lang w:val="en-US" w:eastAsia="ja-JP"/>
        </w:rPr>
        <w:t>Ω</w:t>
      </w:r>
      <w:r>
        <w:rPr>
          <w:color w:val="00000A"/>
          <w:lang w:val="en-US" w:eastAsia="ja-JP"/>
        </w:rPr>
        <w:t xml:space="preserve"> phase of creative destruction, the collapse can cascade to the next larger and slower level by triggering a crisis. Such an event is most likely if the slower level is at its K phase, because at this point the resilience is low and the level is particularly vulnerable. The ‘revolt’ arrow … suggests this effect, one where fast and small events overwhelm slow and large ones. Once triggered, the effect can cascade to still higher, slower levels, particularly if those levels have also accumulated vulnerabilities and rigidities" </w:t>
      </w:r>
      <w:bookmarkStart w:id="1982" w:name="__UnoMark__23548_140394355"/>
      <w:bookmarkStart w:id="1983" w:name="__UnoMark__17327_140394355"/>
      <w:bookmarkStart w:id="1984" w:name="__UnoMark__15941_140394355"/>
      <w:bookmarkStart w:id="1985" w:name="__UnoMark__5857_41873585"/>
      <w:bookmarkStart w:id="1986" w:name="__UnoMark__5344_41873585"/>
      <w:bookmarkStart w:id="1987" w:name="__UnoMark__4855_41873585"/>
      <w:bookmarkStart w:id="1988" w:name="__UnoMark__3492_1689624541"/>
      <w:bookmarkStart w:id="1989" w:name="__UnoMark__3145_1689624541"/>
      <w:bookmarkStart w:id="1990" w:name="__UnoMark__2542_2050315779"/>
      <w:bookmarkStart w:id="1991" w:name="ZOTERO_BREF_Kq31TYxHuzP2"/>
      <w:bookmarkStart w:id="1992" w:name="__UnoMark__5275_60934169"/>
      <w:bookmarkStart w:id="1993" w:name="__UnoMark__5564_60934169"/>
      <w:bookmarkStart w:id="1994" w:name="__UnoMark__5831_60934169"/>
      <w:bookmarkStart w:id="1995" w:name="__UnoMark__6166_60934169"/>
      <w:bookmarkStart w:id="1996" w:name="__UnoMark__6948_41873585"/>
      <w:bookmarkStart w:id="1997" w:name="__UnoMark__6350_41873585"/>
      <w:bookmarkStart w:id="1998" w:name="__UnoMark__7426_41873585"/>
      <w:bookmarkStart w:id="1999" w:name="__UnoMark__5780_1443136783"/>
      <w:bookmarkStart w:id="2000" w:name="__UnoMark__11850_722878254"/>
      <w:bookmarkStart w:id="2001" w:name="__UnoMark__12518_722878254"/>
      <w:bookmarkStart w:id="2002" w:name="__UnoMark__13199_722878254"/>
      <w:bookmarkStart w:id="2003" w:name="__UnoMark__7147_1586897740"/>
      <w:bookmarkStart w:id="2004" w:name="__UnoMark__14953_1661744717"/>
      <w:bookmarkStart w:id="2005" w:name="__UnoMark__15827_1661744717"/>
      <w:bookmarkStart w:id="2006" w:name="__UnoMark__16701_1661744717"/>
      <w:bookmarkStart w:id="2007" w:name="__UnoMark__17592_1661744717"/>
      <w:bookmarkStart w:id="2008" w:name="__UnoMark__17912_1661744717"/>
      <w:bookmarkStart w:id="2009" w:name="__UnoMark__6808_60934169"/>
      <w:bookmarkStart w:id="2010" w:name="__UnoMark__6494_60934169"/>
      <w:bookmarkStart w:id="2011" w:name="__UnoMark__8957_1492540610"/>
      <w:bookmarkStart w:id="2012" w:name="__UnoMark__18488_1880123655"/>
      <w:bookmarkStart w:id="2013" w:name="__UnoMark__17377_1880123655"/>
      <w:bookmarkStart w:id="2014" w:name="__UnoMark__16330_1880123655"/>
      <w:bookmarkStart w:id="2015" w:name="__UnoMark__10987_283745954"/>
      <w:bookmarkStart w:id="2016" w:name="__UnoMark__10706_283745954"/>
      <w:bookmarkStart w:id="2017" w:name="__UnoMark__9610_283745954"/>
      <w:bookmarkStart w:id="2018" w:name="__UnoMark__8789_283745954"/>
      <w:bookmarkStart w:id="2019" w:name="__UnoMark__9436_435217427"/>
      <w:bookmarkStart w:id="2020" w:name="__UnoMark__25357_497913431"/>
      <w:bookmarkStart w:id="2021" w:name="__UnoMark__24496_497913431"/>
      <w:bookmarkStart w:id="2022" w:name="__UnoMark__23780_497913431"/>
      <w:bookmarkStart w:id="2023" w:name="__UnoMark__23076_497913431"/>
      <w:bookmarkStart w:id="2024" w:name="__UnoMark__22317_497913431"/>
      <w:bookmarkStart w:id="2025" w:name="__UnoMark__3978_348219782"/>
      <w:bookmarkStart w:id="2026" w:name="__UnoMark__4412_348219782"/>
      <w:bookmarkStart w:id="2027" w:name="__UnoMark__12337_1244819659"/>
      <w:bookmarkStart w:id="2028" w:name="__UnoMark__12768_1244819659"/>
      <w:bookmarkStart w:id="2029" w:name="__UnoMark__12911_1244819659"/>
      <w:bookmarkStart w:id="2030" w:name="__UnoMark__3694_599023520"/>
      <w:bookmarkStart w:id="2031" w:name="__UnoMark__4211_599023520"/>
      <w:bookmarkStart w:id="2032" w:name="__UnoMark__5522_1492540610"/>
      <w:bookmarkStart w:id="2033" w:name="__UnoMark__6107_1492540610"/>
      <w:bookmarkStart w:id="2034" w:name="__UnoMark__9553_1492540610"/>
      <w:bookmarkStart w:id="2035" w:name="__UnoMark__10152_1492540610"/>
      <w:bookmarkStart w:id="2036" w:name="__UnoMark__10786_1492540610"/>
      <w:bookmarkStart w:id="2037" w:name="__UnoMark__11406_1492540610"/>
      <w:bookmarkStart w:id="2038" w:name="__UnoMark__7931_497913431"/>
      <w:bookmarkStart w:id="2039" w:name="__UnoMark__27293_836371768"/>
      <w:bookmarkStart w:id="2040" w:name="__UnoMark__28438_836371768"/>
      <w:bookmarkStart w:id="2041" w:name="__UnoMark__29612_836371768"/>
      <w:bookmarkStart w:id="2042" w:name="__UnoMark__30773_836371768"/>
      <w:bookmarkStart w:id="2043" w:name="__UnoMark__40763_2025191570"/>
      <w:bookmarkStart w:id="2044" w:name="__UnoMark__41979_2025191570"/>
      <w:bookmarkStart w:id="2045" w:name="__UnoMark__43230_2025191570"/>
      <w:bookmarkStart w:id="2046" w:name="__UnoMark__44490_2025191570"/>
      <w:r>
        <w:rPr>
          <w:color w:val="00000A"/>
          <w:lang w:val="en-US" w:eastAsia="ja-JP"/>
        </w:rPr>
        <w:t>(Holling, 2001, p. 398)</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r>
        <w:rPr>
          <w:color w:val="00000A"/>
          <w:lang w:val="en-US" w:eastAsia="ja-JP"/>
        </w:rPr>
        <w:t>.  A small ground fire can grow to consume a stand of trees.  Local activists can ignite a change in regional policy.</w:t>
      </w:r>
    </w:p>
    <w:p>
      <w:pPr>
        <w:pStyle w:val="Normal"/>
        <w:rPr/>
      </w:pPr>
      <w:r>
        <w:rPr>
          <w:color w:val="00000A"/>
          <w:lang w:val="en-GB"/>
        </w:rPr>
        <w:t>Moving up from this analytic perspective, let’s resurface to the holistic perspective for the initiative.  From the 1960s, Hunts Point was known as the the worst slum in New York City.</w:t>
      </w:r>
    </w:p>
    <w:p>
      <w:pPr>
        <w:pStyle w:val="Quote"/>
        <w:rPr/>
      </w:pPr>
      <w:r>
        <w:rPr/>
        <w:t>Its buildings are jammed together endlessly down narrow streets.  There’s scarcely a tree, or a push, or a patch of grass in the whole area.  ….  Hunt’s Point is a teeming barrio – 50 per cent Puerto Rican, 40 percent black, 90 percent white.</w:t>
      </w:r>
    </w:p>
    <w:p>
      <w:pPr>
        <w:pStyle w:val="Quote"/>
        <w:rPr/>
      </w:pPr>
      <w:r>
        <w:rPr/>
        <w:t xml:space="preserve">City official estimate that 90 per cent of its residents are on welfare, a large percentage of them living in fatherless homes.  Of its 204,000 residents, 25 percent are "certified, acknowledged" drug addicts, and estimates of the percentage of drug users in the total population range up to 50 per cent, health officials say.  With the highest narcotics addition rate in the city, it has no drug treatment center.  With thousands of mothers wanting to work, it has no child day care center </w:t>
      </w:r>
      <w:bookmarkStart w:id="2047" w:name="__UnoMark__23549_140394355"/>
      <w:bookmarkStart w:id="2048" w:name="__UnoMark__17328_140394355"/>
      <w:bookmarkStart w:id="2049" w:name="__UnoMark__15942_140394355"/>
      <w:bookmarkStart w:id="2050" w:name="__UnoMark__4856_41873585"/>
      <w:bookmarkStart w:id="2051" w:name="__UnoMark__3503_1689624541"/>
      <w:bookmarkStart w:id="2052" w:name="__UnoMark__3155_1689624541"/>
      <w:bookmarkStart w:id="2053" w:name="__UnoMark__2545_2050315779"/>
      <w:bookmarkStart w:id="2054" w:name="__UnoMark__3808_1205087773"/>
      <w:bookmarkStart w:id="2055" w:name="__UnoMark__3625_1205087773"/>
      <w:bookmarkStart w:id="2056" w:name="__UnoMark__4063_2127539303"/>
      <w:bookmarkStart w:id="2057" w:name="__UnoMark__3988_2127539303"/>
      <w:bookmarkStart w:id="2058" w:name="__UnoMark__1086_28308119411"/>
      <w:bookmarkStart w:id="2059" w:name="__UnoMark__1016_28308119411"/>
      <w:bookmarkStart w:id="2060" w:name="ZOTERO_BREF_obHdLxJFge9d11"/>
      <w:bookmarkStart w:id="2061" w:name="__UnoMark__4965_2060183323"/>
      <w:bookmarkStart w:id="2062" w:name="__UnoMark__5131_2060183323"/>
      <w:bookmarkStart w:id="2063" w:name="__UnoMark__5285_2060183323"/>
      <w:bookmarkStart w:id="2064" w:name="__UnoMark__5452_2060183323"/>
      <w:bookmarkStart w:id="2065" w:name="__UnoMark__5858_41873585"/>
      <w:bookmarkStart w:id="2066" w:name="__UnoMark__5345_41873585"/>
      <w:bookmarkStart w:id="2067" w:name="__UnoMark__5842_2060183323"/>
      <w:bookmarkStart w:id="2068" w:name="__UnoMark__17913_1661744717"/>
      <w:bookmarkStart w:id="2069" w:name="__UnoMark__17593_1661744717"/>
      <w:bookmarkStart w:id="2070" w:name="__UnoMark__16702_1661744717"/>
      <w:bookmarkStart w:id="2071" w:name="__UnoMark__15828_1661744717"/>
      <w:bookmarkStart w:id="2072" w:name="__UnoMark__5660_2060183323"/>
      <w:bookmarkStart w:id="2073" w:name="__UnoMark__7148_1586897740"/>
      <w:bookmarkStart w:id="2074" w:name="__UnoMark__13200_722878254"/>
      <w:bookmarkStart w:id="2075" w:name="__UnoMark__12519_722878254"/>
      <w:bookmarkStart w:id="2076" w:name="__UnoMark__11851_722878254"/>
      <w:bookmarkStart w:id="2077" w:name="__UnoMark__5781_1443136783"/>
      <w:bookmarkStart w:id="2078" w:name="__UnoMark__7427_41873585"/>
      <w:bookmarkStart w:id="2079" w:name="__UnoMark__6949_41873585"/>
      <w:bookmarkStart w:id="2080" w:name="__UnoMark__6351_41873585"/>
      <w:bookmarkStart w:id="2081" w:name="__UnoMark__14954_1661744717"/>
      <w:bookmarkStart w:id="2082" w:name="__UnoMark__10153_1492540610"/>
      <w:bookmarkStart w:id="2083" w:name="__UnoMark__10787_1492540610"/>
      <w:bookmarkStart w:id="2084" w:name="__UnoMark__11407_1492540610"/>
      <w:bookmarkStart w:id="2085" w:name="__UnoMark__7932_497913431"/>
      <w:bookmarkStart w:id="2086" w:name="__UnoMark__22318_497913431"/>
      <w:bookmarkStart w:id="2087" w:name="__UnoMark__23077_497913431"/>
      <w:bookmarkStart w:id="2088" w:name="__UnoMark__23781_497913431"/>
      <w:bookmarkStart w:id="2089" w:name="__UnoMark__24497_497913431"/>
      <w:bookmarkStart w:id="2090" w:name="__UnoMark__9554_1492540610"/>
      <w:bookmarkStart w:id="2091" w:name="__UnoMark__9437_435217427"/>
      <w:bookmarkStart w:id="2092" w:name="__UnoMark__8790_283745954"/>
      <w:bookmarkStart w:id="2093" w:name="__UnoMark__9611_283745954"/>
      <w:bookmarkStart w:id="2094" w:name="__UnoMark__10707_283745954"/>
      <w:bookmarkStart w:id="2095" w:name="__UnoMark__10988_283745954"/>
      <w:bookmarkStart w:id="2096" w:name="__UnoMark__16331_1880123655"/>
      <w:bookmarkStart w:id="2097" w:name="__UnoMark__17378_1880123655"/>
      <w:bookmarkStart w:id="2098" w:name="__UnoMark__18489_1880123655"/>
      <w:bookmarkStart w:id="2099" w:name="__UnoMark__25358_497913431"/>
      <w:bookmarkStart w:id="2100" w:name="__UnoMark__5835_60934169"/>
      <w:bookmarkStart w:id="2101" w:name="__UnoMark__5279_60934169"/>
      <w:bookmarkStart w:id="2102" w:name="__UnoMark__5568_60934169"/>
      <w:bookmarkStart w:id="2103" w:name="__UnoMark__6071_2060183323"/>
      <w:bookmarkStart w:id="2104" w:name="__UnoMark__6171_60934169"/>
      <w:bookmarkStart w:id="2105" w:name="__UnoMark__6500_60934169"/>
      <w:bookmarkStart w:id="2106" w:name="__UnoMark__6814_60934169"/>
      <w:bookmarkStart w:id="2107" w:name="__UnoMark__3979_348219782"/>
      <w:bookmarkStart w:id="2108" w:name="__UnoMark__4413_348219782"/>
      <w:bookmarkStart w:id="2109" w:name="__UnoMark__12338_1244819659"/>
      <w:bookmarkStart w:id="2110" w:name="__UnoMark__12769_1244819659"/>
      <w:bookmarkStart w:id="2111" w:name="__UnoMark__12912_1244819659"/>
      <w:bookmarkStart w:id="2112" w:name="__UnoMark__3695_599023520"/>
      <w:bookmarkStart w:id="2113" w:name="__UnoMark__4212_599023520"/>
      <w:bookmarkStart w:id="2114" w:name="__UnoMark__5523_1492540610"/>
      <w:bookmarkStart w:id="2115" w:name="__UnoMark__6108_1492540610"/>
      <w:bookmarkStart w:id="2116" w:name="__UnoMark__8958_1492540610"/>
      <w:bookmarkStart w:id="2117" w:name="__UnoMark__27294_836371768"/>
      <w:bookmarkStart w:id="2118" w:name="__UnoMark__28439_836371768"/>
      <w:bookmarkStart w:id="2119" w:name="__UnoMark__29613_836371768"/>
      <w:bookmarkStart w:id="2120" w:name="__UnoMark__30774_836371768"/>
      <w:bookmarkStart w:id="2121" w:name="__UnoMark__40764_2025191570"/>
      <w:bookmarkStart w:id="2122" w:name="__UnoMark__41980_2025191570"/>
      <w:bookmarkStart w:id="2123" w:name="__UnoMark__43231_2025191570"/>
      <w:bookmarkStart w:id="2124" w:name="__UnoMark__44491_2025191570"/>
      <w:r>
        <w:rPr/>
        <w:t>(Leith, 1970)</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r>
        <w:rPr/>
        <w:t xml:space="preserve">.  </w:t>
      </w:r>
    </w:p>
    <w:p>
      <w:pPr>
        <w:pStyle w:val="Normal"/>
        <w:rPr/>
      </w:pPr>
      <w:r>
        <w:rPr>
          <w:color w:val="00000A"/>
          <w:lang w:val="en-GB"/>
        </w:rPr>
        <w:t xml:space="preserve">Hunts Point Multi Service Center Inc. was founded in the South Bronx in 1967, by Ramon Santiago Velez.  With a $50,000 grant through Lyndon Johnson’s </w:t>
      </w:r>
      <w:r>
        <w:rPr>
          <w:i/>
          <w:iCs/>
          <w:color w:val="00000A"/>
          <w:lang w:val="en-GB"/>
        </w:rPr>
        <w:t>War on Poverty</w:t>
      </w:r>
      <w:r>
        <w:rPr>
          <w:color w:val="00000A"/>
          <w:lang w:val="en-GB"/>
        </w:rPr>
        <w:t xml:space="preserve"> and </w:t>
      </w:r>
      <w:r>
        <w:rPr>
          <w:i/>
          <w:iCs/>
          <w:color w:val="00000A"/>
          <w:lang w:val="en-GB"/>
        </w:rPr>
        <w:t>Great Society</w:t>
      </w:r>
      <w:r>
        <w:rPr>
          <w:color w:val="00000A"/>
          <w:lang w:val="en-GB"/>
        </w:rPr>
        <w:t xml:space="preserve"> funding, the corporation ran programs focused on the elderly, housing, health care and substance abuse.  Between 1965 and 2005, Velez is estimated to have won $300 million in bids, largely in government health-care grants </w:t>
      </w:r>
      <w:bookmarkStart w:id="2125" w:name="__UnoMark__23550_140394355"/>
      <w:bookmarkStart w:id="2126" w:name="__UnoMark__17329_140394355"/>
      <w:bookmarkStart w:id="2127" w:name="__UnoMark__15943_140394355"/>
      <w:bookmarkStart w:id="2128" w:name="__UnoMark__5346_41873585"/>
      <w:bookmarkStart w:id="2129" w:name="__UnoMark__4857_41873585"/>
      <w:bookmarkStart w:id="2130" w:name="__UnoMark__3504_1689624541"/>
      <w:bookmarkStart w:id="2131" w:name="__UnoMark__3156_1689624541"/>
      <w:bookmarkStart w:id="2132" w:name="__UnoMark__2546_2050315779"/>
      <w:bookmarkStart w:id="2133" w:name="__UnoMark__3809_1205087773"/>
      <w:bookmarkStart w:id="2134" w:name="__UnoMark__3626_1205087773"/>
      <w:bookmarkStart w:id="2135" w:name="__UnoMark__4064_2127539303"/>
      <w:bookmarkStart w:id="2136" w:name="__UnoMark__1080_28308119411"/>
      <w:bookmarkStart w:id="2137" w:name="ZOTERO_BREF_yNMvUEIniEoP11"/>
      <w:bookmarkStart w:id="2138" w:name="__UnoMark__1013_28308119411"/>
      <w:bookmarkStart w:id="2139" w:name="__UnoMark__4966_2060183323"/>
      <w:bookmarkStart w:id="2140" w:name="__UnoMark__5132_2060183323"/>
      <w:bookmarkStart w:id="2141" w:name="__UnoMark__5286_2060183323"/>
      <w:bookmarkStart w:id="2142" w:name="__UnoMark__5453_2060183323"/>
      <w:bookmarkStart w:id="2143" w:name="__UnoMark__5661_2060183323"/>
      <w:bookmarkStart w:id="2144" w:name="__UnoMark__3989_2127539303"/>
      <w:bookmarkStart w:id="2145" w:name="__UnoMark__5843_2060183323"/>
      <w:bookmarkStart w:id="2146" w:name="__UnoMark__17914_1661744717"/>
      <w:bookmarkStart w:id="2147" w:name="__UnoMark__17594_1661744717"/>
      <w:bookmarkStart w:id="2148" w:name="__UnoMark__16703_1661744717"/>
      <w:bookmarkStart w:id="2149" w:name="__UnoMark__15829_1661744717"/>
      <w:bookmarkStart w:id="2150" w:name="__UnoMark__5859_41873585"/>
      <w:bookmarkStart w:id="2151" w:name="__UnoMark__7149_1586897740"/>
      <w:bookmarkStart w:id="2152" w:name="__UnoMark__13201_722878254"/>
      <w:bookmarkStart w:id="2153" w:name="__UnoMark__12520_722878254"/>
      <w:bookmarkStart w:id="2154" w:name="__UnoMark__11852_722878254"/>
      <w:bookmarkStart w:id="2155" w:name="__UnoMark__5782_1443136783"/>
      <w:bookmarkStart w:id="2156" w:name="__UnoMark__7428_41873585"/>
      <w:bookmarkStart w:id="2157" w:name="__UnoMark__6950_41873585"/>
      <w:bookmarkStart w:id="2158" w:name="__UnoMark__6352_41873585"/>
      <w:bookmarkStart w:id="2159" w:name="__UnoMark__14955_1661744717"/>
      <w:bookmarkStart w:id="2160" w:name="__UnoMark__10154_1492540610"/>
      <w:bookmarkStart w:id="2161" w:name="__UnoMark__10788_1492540610"/>
      <w:bookmarkStart w:id="2162" w:name="__UnoMark__11408_1492540610"/>
      <w:bookmarkStart w:id="2163" w:name="__UnoMark__7933_497913431"/>
      <w:bookmarkStart w:id="2164" w:name="__UnoMark__22319_497913431"/>
      <w:bookmarkStart w:id="2165" w:name="__UnoMark__23078_497913431"/>
      <w:bookmarkStart w:id="2166" w:name="__UnoMark__23782_497913431"/>
      <w:bookmarkStart w:id="2167" w:name="__UnoMark__24498_497913431"/>
      <w:bookmarkStart w:id="2168" w:name="__UnoMark__9555_1492540610"/>
      <w:bookmarkStart w:id="2169" w:name="__UnoMark__9438_435217427"/>
      <w:bookmarkStart w:id="2170" w:name="__UnoMark__8791_283745954"/>
      <w:bookmarkStart w:id="2171" w:name="__UnoMark__9612_283745954"/>
      <w:bookmarkStart w:id="2172" w:name="__UnoMark__10708_283745954"/>
      <w:bookmarkStart w:id="2173" w:name="__UnoMark__10989_283745954"/>
      <w:bookmarkStart w:id="2174" w:name="__UnoMark__16332_1880123655"/>
      <w:bookmarkStart w:id="2175" w:name="__UnoMark__17379_1880123655"/>
      <w:bookmarkStart w:id="2176" w:name="__UnoMark__18490_1880123655"/>
      <w:bookmarkStart w:id="2177" w:name="__UnoMark__25359_497913431"/>
      <w:bookmarkStart w:id="2178" w:name="__UnoMark__6072_2060183323"/>
      <w:bookmarkStart w:id="2179" w:name="__UnoMark__5280_60934169"/>
      <w:bookmarkStart w:id="2180" w:name="__UnoMark__5569_60934169"/>
      <w:bookmarkStart w:id="2181" w:name="__UnoMark__5836_60934169"/>
      <w:bookmarkStart w:id="2182" w:name="__UnoMark__6172_60934169"/>
      <w:bookmarkStart w:id="2183" w:name="__UnoMark__6501_60934169"/>
      <w:bookmarkStart w:id="2184" w:name="__UnoMark__6815_60934169"/>
      <w:bookmarkStart w:id="2185" w:name="__UnoMark__3980_348219782"/>
      <w:bookmarkStart w:id="2186" w:name="__UnoMark__4414_348219782"/>
      <w:bookmarkStart w:id="2187" w:name="__UnoMark__12339_1244819659"/>
      <w:bookmarkStart w:id="2188" w:name="__UnoMark__12770_1244819659"/>
      <w:bookmarkStart w:id="2189" w:name="__UnoMark__12913_1244819659"/>
      <w:bookmarkStart w:id="2190" w:name="__UnoMark__3696_599023520"/>
      <w:bookmarkStart w:id="2191" w:name="__UnoMark__4213_599023520"/>
      <w:bookmarkStart w:id="2192" w:name="__UnoMark__5524_1492540610"/>
      <w:bookmarkStart w:id="2193" w:name="__UnoMark__6109_1492540610"/>
      <w:bookmarkStart w:id="2194" w:name="__UnoMark__8959_1492540610"/>
      <w:bookmarkStart w:id="2195" w:name="__UnoMark__27295_836371768"/>
      <w:bookmarkStart w:id="2196" w:name="__UnoMark__28440_836371768"/>
      <w:bookmarkStart w:id="2197" w:name="__UnoMark__29614_836371768"/>
      <w:bookmarkStart w:id="2198" w:name="__UnoMark__30775_836371768"/>
      <w:bookmarkStart w:id="2199" w:name="__UnoMark__40765_2025191570"/>
      <w:bookmarkStart w:id="2200" w:name="__UnoMark__41981_2025191570"/>
      <w:bookmarkStart w:id="2201" w:name="__UnoMark__43232_2025191570"/>
      <w:bookmarkStart w:id="2202" w:name="__UnoMark__44492_2025191570"/>
      <w:r>
        <w:rPr>
          <w:color w:val="00000A"/>
          <w:lang w:val="en-GB"/>
        </w:rPr>
        <w:t>(Opie, 2015, p. 108)</w:t>
      </w:r>
      <w:bookmarkStart w:id="2203" w:name="__UnoMark__1032_28308119411"/>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Pr>
          <w:color w:val="00000A"/>
          <w:lang w:val="en-GB"/>
        </w:rPr>
        <w:t xml:space="preserve">.  The Hunts Point Multi- Service Centre building at 630 Jackson Avenue was constructed in 1972.  Velez gained political power as a "poverty-crat" and "machine politician" with control over community and ethnic groups </w:t>
      </w:r>
      <w:bookmarkStart w:id="2204" w:name="__UnoMark__23551_140394355"/>
      <w:bookmarkStart w:id="2205" w:name="__UnoMark__17330_140394355"/>
      <w:bookmarkStart w:id="2206" w:name="__UnoMark__15944_140394355"/>
      <w:bookmarkStart w:id="2207" w:name="__UnoMark__4858_41873585"/>
      <w:bookmarkStart w:id="2208" w:name="__UnoMark__3505_1689624541"/>
      <w:bookmarkStart w:id="2209" w:name="__UnoMark__3157_1689624541"/>
      <w:bookmarkStart w:id="2210" w:name="__UnoMark__2547_2050315779"/>
      <w:bookmarkStart w:id="2211" w:name="__UnoMark__3810_1205087773"/>
      <w:bookmarkStart w:id="2212" w:name="__UnoMark__3627_1205087773"/>
      <w:bookmarkStart w:id="2213" w:name="__UnoMark__4065_2127539303"/>
      <w:bookmarkStart w:id="2214" w:name="__UnoMark__3990_2127539303"/>
      <w:bookmarkStart w:id="2215" w:name="__UnoMark__4967_2060183323"/>
      <w:bookmarkStart w:id="2216" w:name="__UnoMark__5133_2060183323"/>
      <w:bookmarkStart w:id="2217" w:name="__UnoMark__5287_2060183323"/>
      <w:bookmarkStart w:id="2218" w:name="__UnoMark__5454_2060183323"/>
      <w:bookmarkStart w:id="2219" w:name="__UnoMark__5662_2060183323"/>
      <w:bookmarkStart w:id="2220" w:name="__UnoMark__5844_2060183323"/>
      <w:bookmarkStart w:id="2221" w:name="__UnoMark__6073_2060183323"/>
      <w:bookmarkStart w:id="2222" w:name="__UnoMark__5347_41873585"/>
      <w:bookmarkStart w:id="2223" w:name="ZOTERO_BREF_tRw2bGa62jJF11"/>
      <w:bookmarkStart w:id="2224" w:name="__UnoMark__17915_1661744717"/>
      <w:bookmarkStart w:id="2225" w:name="__UnoMark__17595_1661744717"/>
      <w:bookmarkStart w:id="2226" w:name="__UnoMark__16704_1661744717"/>
      <w:bookmarkStart w:id="2227" w:name="__UnoMark__15830_1661744717"/>
      <w:bookmarkStart w:id="2228" w:name="__UnoMark__14956_1661744717"/>
      <w:bookmarkStart w:id="2229" w:name="__UnoMark__5281_60934169"/>
      <w:bookmarkStart w:id="2230" w:name="__UnoMark__13202_722878254"/>
      <w:bookmarkStart w:id="2231" w:name="__UnoMark__12521_722878254"/>
      <w:bookmarkStart w:id="2232" w:name="__UnoMark__11853_722878254"/>
      <w:bookmarkStart w:id="2233" w:name="__UnoMark__5783_1443136783"/>
      <w:bookmarkStart w:id="2234" w:name="__UnoMark__7429_41873585"/>
      <w:bookmarkStart w:id="2235" w:name="__UnoMark__6951_41873585"/>
      <w:bookmarkStart w:id="2236" w:name="__UnoMark__6353_41873585"/>
      <w:bookmarkStart w:id="2237" w:name="__UnoMark__5860_41873585"/>
      <w:bookmarkStart w:id="2238" w:name="__UnoMark__7150_1586897740"/>
      <w:bookmarkStart w:id="2239" w:name="__UnoMark__11409_1492540610"/>
      <w:bookmarkStart w:id="2240" w:name="__UnoMark__7934_497913431"/>
      <w:bookmarkStart w:id="2241" w:name="__UnoMark__22320_497913431"/>
      <w:bookmarkStart w:id="2242" w:name="__UnoMark__23079_497913431"/>
      <w:bookmarkStart w:id="2243" w:name="__UnoMark__23783_497913431"/>
      <w:bookmarkStart w:id="2244" w:name="__UnoMark__24499_497913431"/>
      <w:bookmarkStart w:id="2245" w:name="__UnoMark__25360_497913431"/>
      <w:bookmarkStart w:id="2246" w:name="__UnoMark__5570_60934169"/>
      <w:bookmarkStart w:id="2247" w:name="__UnoMark__8792_283745954"/>
      <w:bookmarkStart w:id="2248" w:name="__UnoMark__9613_283745954"/>
      <w:bookmarkStart w:id="2249" w:name="__UnoMark__10709_283745954"/>
      <w:bookmarkStart w:id="2250" w:name="__UnoMark__10990_283745954"/>
      <w:bookmarkStart w:id="2251" w:name="__UnoMark__16333_1880123655"/>
      <w:bookmarkStart w:id="2252" w:name="__UnoMark__17380_1880123655"/>
      <w:bookmarkStart w:id="2253" w:name="__UnoMark__18491_1880123655"/>
      <w:bookmarkStart w:id="2254" w:name="__UnoMark__9439_435217427"/>
      <w:bookmarkStart w:id="2255" w:name="__UnoMark__5837_60934169"/>
      <w:bookmarkStart w:id="2256" w:name="__UnoMark__6173_60934169"/>
      <w:bookmarkStart w:id="2257" w:name="__UnoMark__6502_60934169"/>
      <w:bookmarkStart w:id="2258" w:name="__UnoMark__6816_60934169"/>
      <w:bookmarkStart w:id="2259" w:name="__UnoMark__3981_348219782"/>
      <w:bookmarkStart w:id="2260" w:name="__UnoMark__4415_348219782"/>
      <w:bookmarkStart w:id="2261" w:name="__UnoMark__12340_1244819659"/>
      <w:bookmarkStart w:id="2262" w:name="__UnoMark__10789_1492540610"/>
      <w:bookmarkStart w:id="2263" w:name="__UnoMark__12914_1244819659"/>
      <w:bookmarkStart w:id="2264" w:name="__UnoMark__3697_599023520"/>
      <w:bookmarkStart w:id="2265" w:name="__UnoMark__4214_599023520"/>
      <w:bookmarkStart w:id="2266" w:name="__UnoMark__5525_1492540610"/>
      <w:bookmarkStart w:id="2267" w:name="__UnoMark__6110_1492540610"/>
      <w:bookmarkStart w:id="2268" w:name="__UnoMark__8960_1492540610"/>
      <w:bookmarkStart w:id="2269" w:name="__UnoMark__9556_1492540610"/>
      <w:bookmarkStart w:id="2270" w:name="__UnoMark__10155_1492540610"/>
      <w:bookmarkStart w:id="2271" w:name="__UnoMark__12771_1244819659"/>
      <w:bookmarkStart w:id="2272" w:name="__UnoMark__27296_836371768"/>
      <w:bookmarkStart w:id="2273" w:name="__UnoMark__28441_836371768"/>
      <w:bookmarkStart w:id="2274" w:name="__UnoMark__29615_836371768"/>
      <w:bookmarkStart w:id="2275" w:name="__UnoMark__30776_836371768"/>
      <w:bookmarkStart w:id="2276" w:name="__UnoMark__40766_2025191570"/>
      <w:bookmarkStart w:id="2277" w:name="__UnoMark__41982_2025191570"/>
      <w:bookmarkStart w:id="2278" w:name="__UnoMark__43233_2025191570"/>
      <w:bookmarkStart w:id="2279" w:name="__UnoMark__44493_2025191570"/>
      <w:bookmarkStart w:id="2280" w:name="__UnoMark__1083_28308119411"/>
      <w:bookmarkEnd w:id="2280"/>
      <w:r>
        <w:rPr>
          <w:b w:val="false"/>
          <w:i w:val="false"/>
          <w:caps w:val="false"/>
          <w:smallCaps w:val="false"/>
          <w:color w:val="00000A"/>
          <w:position w:val="0"/>
          <w:sz w:val="22"/>
          <w:sz w:val="22"/>
          <w:u w:val="none"/>
          <w:vertAlign w:val="baseline"/>
          <w:lang w:val="en-GB"/>
        </w:rPr>
        <w:t>(S</w:t>
      </w:r>
      <w:r>
        <w:rPr>
          <w:b w:val="false"/>
          <w:i w:val="false"/>
          <w:caps w:val="false"/>
          <w:smallCaps w:val="false"/>
          <w:position w:val="0"/>
          <w:sz w:val="22"/>
          <w:sz w:val="22"/>
          <w:u w:val="none"/>
          <w:vertAlign w:val="baseline"/>
        </w:rPr>
        <w:t>ánchez, 1994, p. 117)</w:t>
      </w:r>
      <w:bookmarkStart w:id="2281" w:name="__UnoMark__1112_28308119411"/>
      <w:bookmarkStart w:id="2282" w:name="__UnoMark__1100_28308119411"/>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1"/>
      <w:bookmarkEnd w:id="2282"/>
      <w:r>
        <w:rPr>
          <w:color w:val="00000A"/>
          <w:lang w:val="en-GB"/>
        </w:rPr>
        <w:t xml:space="preserve">.  </w:t>
      </w:r>
    </w:p>
    <w:p>
      <w:pPr>
        <w:pStyle w:val="Normal"/>
        <w:rPr/>
      </w:pPr>
      <w:r>
        <w:rPr>
          <w:color w:val="00000A"/>
          <w:lang w:val="en-GB" w:eastAsia="ja-JP"/>
        </w:rPr>
        <w:t xml:space="preserve">The corporation ran for 45 years, with the center eventually losing its funding from the city and programs taken over by the state </w:t>
      </w:r>
      <w:bookmarkStart w:id="2283" w:name="__UnoMark__23552_140394355"/>
      <w:bookmarkStart w:id="2284" w:name="__UnoMark__17331_140394355"/>
      <w:bookmarkStart w:id="2285" w:name="__UnoMark__15945_140394355"/>
      <w:bookmarkStart w:id="2286" w:name="__UnoMark__1081_28308119411"/>
      <w:bookmarkStart w:id="2287" w:name="__UnoMark__3506_1689624541"/>
      <w:bookmarkStart w:id="2288" w:name="__UnoMark__3158_1689624541"/>
      <w:bookmarkStart w:id="2289" w:name="__UnoMark__2548_2050315779"/>
      <w:bookmarkStart w:id="2290" w:name="__UnoMark__3811_1205087773"/>
      <w:bookmarkStart w:id="2291" w:name="__UnoMark__3628_1205087773"/>
      <w:bookmarkStart w:id="2292" w:name="__UnoMark__4066_2127539303"/>
      <w:bookmarkStart w:id="2293" w:name="__UnoMark__3991_2127539303"/>
      <w:bookmarkStart w:id="2294" w:name="__UnoMark__1017_28308119411"/>
      <w:bookmarkStart w:id="2295" w:name="__UnoMark__949_28308119411"/>
      <w:bookmarkStart w:id="2296" w:name="ZOTERO_BREF_jdDoP1r2meWZ11"/>
      <w:bookmarkStart w:id="2297" w:name="__UnoMark__906_28308119411"/>
      <w:bookmarkStart w:id="2298" w:name="__UnoMark__4968_2060183323"/>
      <w:bookmarkStart w:id="2299" w:name="__UnoMark__5134_2060183323"/>
      <w:bookmarkStart w:id="2300" w:name="__UnoMark__5288_2060183323"/>
      <w:bookmarkStart w:id="2301" w:name="__UnoMark__5348_41873585"/>
      <w:bookmarkStart w:id="2302" w:name="__UnoMark__4859_41873585"/>
      <w:bookmarkStart w:id="2303" w:name="__UnoMark__5663_2060183323"/>
      <w:bookmarkStart w:id="2304" w:name="__UnoMark__17916_1661744717"/>
      <w:bookmarkStart w:id="2305" w:name="__UnoMark__17596_1661744717"/>
      <w:bookmarkStart w:id="2306" w:name="__UnoMark__16705_1661744717"/>
      <w:bookmarkStart w:id="2307" w:name="__UnoMark__15831_1661744717"/>
      <w:bookmarkStart w:id="2308" w:name="__UnoMark__5455_2060183323"/>
      <w:bookmarkStart w:id="2309" w:name="__UnoMark__7151_1586897740"/>
      <w:bookmarkStart w:id="2310" w:name="__UnoMark__13203_722878254"/>
      <w:bookmarkStart w:id="2311" w:name="__UnoMark__12522_722878254"/>
      <w:bookmarkStart w:id="2312" w:name="__UnoMark__11854_722878254"/>
      <w:bookmarkStart w:id="2313" w:name="__UnoMark__5784_1443136783"/>
      <w:bookmarkStart w:id="2314" w:name="__UnoMark__7430_41873585"/>
      <w:bookmarkStart w:id="2315" w:name="__UnoMark__6952_41873585"/>
      <w:bookmarkStart w:id="2316" w:name="__UnoMark__6354_41873585"/>
      <w:bookmarkStart w:id="2317" w:name="__UnoMark__5861_41873585"/>
      <w:bookmarkStart w:id="2318" w:name="__UnoMark__14957_1661744717"/>
      <w:bookmarkStart w:id="2319" w:name="__UnoMark__10156_1492540610"/>
      <w:bookmarkStart w:id="2320" w:name="__UnoMark__10790_1492540610"/>
      <w:bookmarkStart w:id="2321" w:name="__UnoMark__11410_1492540610"/>
      <w:bookmarkStart w:id="2322" w:name="__UnoMark__7935_497913431"/>
      <w:bookmarkStart w:id="2323" w:name="__UnoMark__22321_497913431"/>
      <w:bookmarkStart w:id="2324" w:name="__UnoMark__23080_497913431"/>
      <w:bookmarkStart w:id="2325" w:name="__UnoMark__23784_497913431"/>
      <w:bookmarkStart w:id="2326" w:name="__UnoMark__24500_497913431"/>
      <w:bookmarkStart w:id="2327" w:name="__UnoMark__9557_1492540610"/>
      <w:bookmarkStart w:id="2328" w:name="__UnoMark__9440_435217427"/>
      <w:bookmarkStart w:id="2329" w:name="__UnoMark__8793_283745954"/>
      <w:bookmarkStart w:id="2330" w:name="__UnoMark__9614_283745954"/>
      <w:bookmarkStart w:id="2331" w:name="__UnoMark__10710_283745954"/>
      <w:bookmarkStart w:id="2332" w:name="__UnoMark__10991_283745954"/>
      <w:bookmarkStart w:id="2333" w:name="__UnoMark__16334_1880123655"/>
      <w:bookmarkStart w:id="2334" w:name="__UnoMark__17381_1880123655"/>
      <w:bookmarkStart w:id="2335" w:name="__UnoMark__18492_1880123655"/>
      <w:bookmarkStart w:id="2336" w:name="__UnoMark__3698_599023520"/>
      <w:bookmarkStart w:id="2337" w:name="__UnoMark__25361_497913431"/>
      <w:bookmarkStart w:id="2338" w:name="__UnoMark__6074_2060183323"/>
      <w:bookmarkStart w:id="2339" w:name="__UnoMark__5282_60934169"/>
      <w:bookmarkStart w:id="2340" w:name="__UnoMark__5571_60934169"/>
      <w:bookmarkStart w:id="2341" w:name="__UnoMark__5838_60934169"/>
      <w:bookmarkStart w:id="2342" w:name="__UnoMark__6174_60934169"/>
      <w:bookmarkStart w:id="2343" w:name="__UnoMark__6503_60934169"/>
      <w:bookmarkStart w:id="2344" w:name="__UnoMark__6817_60934169"/>
      <w:bookmarkStart w:id="2345" w:name="__UnoMark__3982_348219782"/>
      <w:bookmarkStart w:id="2346" w:name="__UnoMark__12341_1244819659"/>
      <w:bookmarkStart w:id="2347" w:name="__UnoMark__12736_1244819659"/>
      <w:bookmarkStart w:id="2348" w:name="__UnoMark__12879_1244819659"/>
      <w:bookmarkStart w:id="2349" w:name="__UnoMark__5845_2060183323"/>
      <w:bookmarkStart w:id="2350" w:name="__UnoMark__4215_599023520"/>
      <w:bookmarkStart w:id="2351" w:name="__UnoMark__5526_1492540610"/>
      <w:bookmarkStart w:id="2352" w:name="__UnoMark__6111_1492540610"/>
      <w:bookmarkStart w:id="2353" w:name="__UnoMark__8961_1492540610"/>
      <w:bookmarkStart w:id="2354" w:name="__UnoMark__4416_348219782"/>
      <w:bookmarkStart w:id="2355" w:name="__UnoMark__27297_836371768"/>
      <w:bookmarkStart w:id="2356" w:name="__UnoMark__28442_836371768"/>
      <w:bookmarkStart w:id="2357" w:name="__UnoMark__29616_836371768"/>
      <w:bookmarkStart w:id="2358" w:name="__UnoMark__30777_836371768"/>
      <w:bookmarkStart w:id="2359" w:name="__UnoMark__40767_2025191570"/>
      <w:bookmarkStart w:id="2360" w:name="__UnoMark__41983_2025191570"/>
      <w:bookmarkStart w:id="2361" w:name="__UnoMark__43234_2025191570"/>
      <w:bookmarkStart w:id="2362" w:name="__UnoMark__44494_2025191570"/>
      <w:r>
        <w:rPr>
          <w:color w:val="00000A"/>
          <w:lang w:val="en-GB" w:eastAsia="ja-JP"/>
        </w:rPr>
        <w:t>(Hirsch, 2012)</w:t>
      </w:r>
      <w:bookmarkStart w:id="2363" w:name="__UnoMark__919_28308119411"/>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r>
        <w:rPr>
          <w:color w:val="00000A"/>
          <w:lang w:val="en-GB" w:eastAsia="ja-JP"/>
        </w:rPr>
        <w:t xml:space="preserve">.  "The War on Poverty programs, like the PRCDP [Puerto Rican Community Development Project:] did little to change the poor conditions in which Puerto Ricans lived.  [….]  [… Dependent] on government funds, many groups grew more conservative as their fortunes became increasingly tied to the political power structure" </w:t>
      </w:r>
      <w:bookmarkStart w:id="2364" w:name="__UnoMark__23553_140394355"/>
      <w:bookmarkStart w:id="2365" w:name="__UnoMark__17332_140394355"/>
      <w:bookmarkStart w:id="2366" w:name="__UnoMark__15946_140394355"/>
      <w:bookmarkStart w:id="2367" w:name="__UnoMark__7431_41873585"/>
      <w:bookmarkStart w:id="2368" w:name="__UnoMark__6953_41873585"/>
      <w:bookmarkStart w:id="2369" w:name="__UnoMark__6355_41873585"/>
      <w:bookmarkStart w:id="2370" w:name="__UnoMark__5862_41873585"/>
      <w:bookmarkStart w:id="2371" w:name="__UnoMark__5349_41873585"/>
      <w:bookmarkStart w:id="2372" w:name="__UnoMark__4860_41873585"/>
      <w:bookmarkStart w:id="2373" w:name="__UnoMark__5527_1492540610"/>
      <w:bookmarkStart w:id="2374" w:name="__UnoMark__3699_599023520"/>
      <w:bookmarkStart w:id="2375" w:name="__UnoMark__11855_722878254"/>
      <w:bookmarkStart w:id="2376" w:name="__UnoMark__5785_1443136783"/>
      <w:bookmarkStart w:id="2377" w:name="__UnoMark__12523_722878254"/>
      <w:bookmarkStart w:id="2378" w:name="__UnoMark__13204_722878254"/>
      <w:bookmarkStart w:id="2379" w:name="__UnoMark__7152_1586897740"/>
      <w:bookmarkStart w:id="2380" w:name="__UnoMark__14958_1661744717"/>
      <w:bookmarkStart w:id="2381" w:name="__UnoMark__15832_1661744717"/>
      <w:bookmarkStart w:id="2382" w:name="__UnoMark__16706_1661744717"/>
      <w:bookmarkStart w:id="2383" w:name="__UnoMark__17597_1661744717"/>
      <w:bookmarkStart w:id="2384" w:name="__UnoMark__17917_1661744717"/>
      <w:bookmarkStart w:id="2385" w:name="__UnoMark__4216_599023520"/>
      <w:bookmarkStart w:id="2386" w:name="ZOTERO_BREF_LqxkD7RG6MgH"/>
      <w:bookmarkStart w:id="2387" w:name="__UnoMark__18493_1880123655"/>
      <w:bookmarkStart w:id="2388" w:name="__UnoMark__17382_1880123655"/>
      <w:bookmarkStart w:id="2389" w:name="__UnoMark__16335_1880123655"/>
      <w:bookmarkStart w:id="2390" w:name="__UnoMark__10992_283745954"/>
      <w:bookmarkStart w:id="2391" w:name="__UnoMark__10711_283745954"/>
      <w:bookmarkStart w:id="2392" w:name="__UnoMark__9615_283745954"/>
      <w:bookmarkStart w:id="2393" w:name="__UnoMark__8794_283745954"/>
      <w:bookmarkStart w:id="2394" w:name="__UnoMark__9441_435217427"/>
      <w:bookmarkStart w:id="2395" w:name="__UnoMark__25362_497913431"/>
      <w:bookmarkStart w:id="2396" w:name="__UnoMark__6112_1492540610"/>
      <w:bookmarkStart w:id="2397" w:name="__UnoMark__8962_1492540610"/>
      <w:bookmarkStart w:id="2398" w:name="__UnoMark__9558_1492540610"/>
      <w:bookmarkStart w:id="2399" w:name="__UnoMark__10157_1492540610"/>
      <w:bookmarkStart w:id="2400" w:name="__UnoMark__10791_1492540610"/>
      <w:bookmarkStart w:id="2401" w:name="__UnoMark__11411_1492540610"/>
      <w:bookmarkStart w:id="2402" w:name="__UnoMark__7936_497913431"/>
      <w:bookmarkStart w:id="2403" w:name="__UnoMark__22322_497913431"/>
      <w:bookmarkStart w:id="2404" w:name="__UnoMark__23081_497913431"/>
      <w:bookmarkStart w:id="2405" w:name="__UnoMark__23785_497913431"/>
      <w:bookmarkStart w:id="2406" w:name="__UnoMark__24501_497913431"/>
      <w:bookmarkStart w:id="2407" w:name="__UnoMark__27298_836371768"/>
      <w:bookmarkStart w:id="2408" w:name="__UnoMark__28443_836371768"/>
      <w:bookmarkStart w:id="2409" w:name="__UnoMark__29617_836371768"/>
      <w:bookmarkStart w:id="2410" w:name="__UnoMark__30778_836371768"/>
      <w:bookmarkStart w:id="2411" w:name="__UnoMark__40768_2025191570"/>
      <w:bookmarkStart w:id="2412" w:name="__UnoMark__41984_2025191570"/>
      <w:bookmarkStart w:id="2413" w:name="__UnoMark__43235_2025191570"/>
      <w:bookmarkStart w:id="2414" w:name="__UnoMark__44495_2025191570"/>
      <w:bookmarkStart w:id="2415" w:name="__UnoMark__12881_1244819659"/>
      <w:bookmarkStart w:id="2416" w:name="__UnoMark__12738_1244819659"/>
      <w:bookmarkEnd w:id="2415"/>
      <w:bookmarkEnd w:id="2416"/>
      <w:r>
        <w:rPr>
          <w:b w:val="false"/>
          <w:i w:val="false"/>
          <w:caps w:val="false"/>
          <w:smallCaps w:val="false"/>
          <w:color w:val="00000A"/>
          <w:position w:val="0"/>
          <w:sz w:val="22"/>
          <w:sz w:val="22"/>
          <w:u w:val="none"/>
          <w:vertAlign w:val="baseline"/>
          <w:lang w:val="en-GB" w:eastAsia="ja-JP"/>
        </w:rPr>
        <w:t>(S</w:t>
      </w:r>
      <w:r>
        <w:rPr>
          <w:b w:val="false"/>
          <w:i w:val="false"/>
          <w:caps w:val="false"/>
          <w:smallCaps w:val="false"/>
          <w:position w:val="0"/>
          <w:sz w:val="22"/>
          <w:sz w:val="22"/>
          <w:u w:val="none"/>
          <w:vertAlign w:val="baseline"/>
        </w:rPr>
        <w:t>ánchez, 1994, p. 117)</w:t>
      </w:r>
      <w:bookmarkStart w:id="2417" w:name="__UnoMark__13034_1244819659"/>
      <w:bookmarkStart w:id="2418" w:name="__UnoMark__13022_1244819659"/>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7"/>
      <w:bookmarkEnd w:id="2418"/>
      <w:r>
        <w:rPr>
          <w:color w:val="00000A"/>
          <w:lang w:val="en-GB" w:eastAsia="ja-JP"/>
        </w:rPr>
        <w:t>.</w:t>
      </w:r>
    </w:p>
    <w:p>
      <w:pPr>
        <w:pStyle w:val="Normal"/>
        <w:rPr/>
      </w:pPr>
      <w:r>
        <w:rPr>
          <w:color w:val="00000A"/>
          <w:lang w:val="en-US" w:eastAsia="ja-JP"/>
        </w:rPr>
        <w:t xml:space="preserve">A </w:t>
      </w:r>
      <w:r>
        <w:rPr>
          <w:i/>
          <w:iCs/>
          <w:color w:val="00000A"/>
          <w:lang w:val="en-US" w:eastAsia="ja-JP"/>
        </w:rPr>
        <w:t>production system</w:t>
      </w:r>
      <w:r>
        <w:rPr>
          <w:color w:val="00000A"/>
          <w:lang w:val="en-US" w:eastAsia="ja-JP"/>
        </w:rPr>
        <w:t xml:space="preserve"> can be described as "make-and-sell" system </w:t>
      </w:r>
      <w:bookmarkStart w:id="2419" w:name="__UnoMark__23554_140394355"/>
      <w:bookmarkStart w:id="2420" w:name="__UnoMark__17333_140394355"/>
      <w:bookmarkStart w:id="2421" w:name="__UnoMark__15947_140394355"/>
      <w:bookmarkStart w:id="2422" w:name="__UnoMark__6495_60934169"/>
      <w:bookmarkStart w:id="2423" w:name="__UnoMark__6167_60934169"/>
      <w:bookmarkStart w:id="2424" w:name="__UnoMark__5832_60934169"/>
      <w:bookmarkStart w:id="2425" w:name="__UnoMark__5565_60934169"/>
      <w:bookmarkStart w:id="2426" w:name="__UnoMark__5276_60934169"/>
      <w:bookmarkStart w:id="2427" w:name="__UnoMark__2524_2050315779"/>
      <w:bookmarkStart w:id="2428" w:name="ZOTERO_BREF_sepcbfto26yS"/>
      <w:bookmarkStart w:id="2429" w:name="__UnoMark__3146_1689624541"/>
      <w:bookmarkStart w:id="2430" w:name="__UnoMark__3493_1689624541"/>
      <w:bookmarkStart w:id="2431" w:name="__UnoMark__4861_41873585"/>
      <w:bookmarkStart w:id="2432" w:name="__UnoMark__5350_41873585"/>
      <w:bookmarkStart w:id="2433" w:name="__UnoMark__5863_41873585"/>
      <w:bookmarkStart w:id="2434" w:name="__UnoMark__6356_41873585"/>
      <w:bookmarkStart w:id="2435" w:name="__UnoMark__7432_41873585"/>
      <w:bookmarkStart w:id="2436" w:name="__UnoMark__5786_1443136783"/>
      <w:bookmarkStart w:id="2437" w:name="__UnoMark__11856_722878254"/>
      <w:bookmarkStart w:id="2438" w:name="__UnoMark__12524_722878254"/>
      <w:bookmarkStart w:id="2439" w:name="__UnoMark__13205_722878254"/>
      <w:bookmarkStart w:id="2440" w:name="__UnoMark__7153_1586897740"/>
      <w:bookmarkStart w:id="2441" w:name="__UnoMark__14959_1661744717"/>
      <w:bookmarkStart w:id="2442" w:name="__UnoMark__15833_1661744717"/>
      <w:bookmarkStart w:id="2443" w:name="__UnoMark__16707_1661744717"/>
      <w:bookmarkStart w:id="2444" w:name="__UnoMark__17598_1661744717"/>
      <w:bookmarkStart w:id="2445" w:name="__UnoMark__17918_1661744717"/>
      <w:bookmarkStart w:id="2446" w:name="__UnoMark__6809_60934169"/>
      <w:bookmarkStart w:id="2447" w:name="__UnoMark__6954_41873585"/>
      <w:bookmarkStart w:id="2448" w:name="__UnoMark__18494_1880123655"/>
      <w:bookmarkStart w:id="2449" w:name="__UnoMark__17383_1880123655"/>
      <w:bookmarkStart w:id="2450" w:name="__UnoMark__16336_1880123655"/>
      <w:bookmarkStart w:id="2451" w:name="__UnoMark__10993_283745954"/>
      <w:bookmarkStart w:id="2452" w:name="__UnoMark__10712_283745954"/>
      <w:bookmarkStart w:id="2453" w:name="__UnoMark__9616_283745954"/>
      <w:bookmarkStart w:id="2454" w:name="__UnoMark__8795_283745954"/>
      <w:bookmarkStart w:id="2455" w:name="__UnoMark__9442_435217427"/>
      <w:bookmarkStart w:id="2456" w:name="__UnoMark__25363_497913431"/>
      <w:bookmarkStart w:id="2457" w:name="__UnoMark__24502_497913431"/>
      <w:bookmarkStart w:id="2458" w:name="__UnoMark__23786_497913431"/>
      <w:bookmarkStart w:id="2459" w:name="__UnoMark__23082_497913431"/>
      <w:bookmarkStart w:id="2460" w:name="__UnoMark__22323_497913431"/>
      <w:bookmarkStart w:id="2461" w:name="__UnoMark__7937_497913431"/>
      <w:bookmarkStart w:id="2462" w:name="__UnoMark__3983_348219782"/>
      <w:bookmarkStart w:id="2463" w:name="__UnoMark__4417_348219782"/>
      <w:bookmarkStart w:id="2464" w:name="__UnoMark__12342_1244819659"/>
      <w:bookmarkStart w:id="2465" w:name="__UnoMark__12772_1244819659"/>
      <w:bookmarkStart w:id="2466" w:name="__UnoMark__12915_1244819659"/>
      <w:bookmarkStart w:id="2467" w:name="__UnoMark__3700_599023520"/>
      <w:bookmarkStart w:id="2468" w:name="__UnoMark__4217_599023520"/>
      <w:bookmarkStart w:id="2469" w:name="__UnoMark__5528_1492540610"/>
      <w:bookmarkStart w:id="2470" w:name="__UnoMark__6113_1492540610"/>
      <w:bookmarkStart w:id="2471" w:name="__UnoMark__8963_1492540610"/>
      <w:bookmarkStart w:id="2472" w:name="__UnoMark__9559_1492540610"/>
      <w:bookmarkStart w:id="2473" w:name="__UnoMark__10158_1492540610"/>
      <w:bookmarkStart w:id="2474" w:name="__UnoMark__10792_1492540610"/>
      <w:bookmarkStart w:id="2475" w:name="__UnoMark__11412_1492540610"/>
      <w:bookmarkStart w:id="2476" w:name="__UnoMark__27299_836371768"/>
      <w:bookmarkStart w:id="2477" w:name="__UnoMark__28444_836371768"/>
      <w:bookmarkStart w:id="2478" w:name="__UnoMark__29618_836371768"/>
      <w:bookmarkStart w:id="2479" w:name="__UnoMark__30779_836371768"/>
      <w:bookmarkStart w:id="2480" w:name="__UnoMark__40769_2025191570"/>
      <w:bookmarkStart w:id="2481" w:name="__UnoMark__41985_2025191570"/>
      <w:bookmarkStart w:id="2482" w:name="__UnoMark__43236_2025191570"/>
      <w:bookmarkStart w:id="2483" w:name="__UnoMark__44496_2025191570"/>
      <w:r>
        <w:rPr>
          <w:color w:val="00000A"/>
          <w:lang w:val="en-US" w:eastAsia="ja-JP"/>
        </w:rPr>
        <w:t>(Haeckel, 1999)</w:t>
      </w:r>
      <w:bookmarkStart w:id="2484" w:name="__UnoMark__2603_2050315779"/>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r>
        <w:rPr>
          <w:color w:val="00000A"/>
          <w:lang w:val="en-US" w:eastAsia="ja-JP"/>
        </w:rPr>
        <w:t xml:space="preserve">.  A bus system operates on a schedule, even if there are no passengers on board.  A </w:t>
      </w:r>
      <w:r>
        <w:rPr>
          <w:i/>
          <w:iCs/>
          <w:color w:val="00000A"/>
          <w:u w:val="none"/>
          <w:lang w:val="en-US" w:eastAsia="ja-JP"/>
        </w:rPr>
        <w:t>service system</w:t>
      </w:r>
      <w:r>
        <w:rPr>
          <w:color w:val="00000A"/>
          <w:lang w:val="en-US" w:eastAsia="ja-JP"/>
        </w:rPr>
        <w:t xml:space="preserve"> can be described as a "sense-and-respond" system.  A taxi doesn’t transport passengers or packages towards a destination without the driver first asking about the client’s wishes.</w:t>
      </w:r>
    </w:p>
    <w:p>
      <w:pPr>
        <w:pStyle w:val="Heading2"/>
        <w:numPr>
          <w:ilvl w:val="1"/>
          <w:numId w:val="2"/>
        </w:numPr>
        <w:rPr/>
      </w:pPr>
      <w:r>
        <w:rPr>
          <w:lang w:val="en-GB"/>
        </w:rPr>
        <w:t>The Alexandrian and proposed formats can be mapped for comparison</w:t>
      </w:r>
    </w:p>
    <w:p>
      <w:pPr>
        <w:pStyle w:val="Normal"/>
        <w:rPr>
          <w:color w:val="00000A"/>
          <w:lang w:val="en-GB"/>
        </w:rPr>
      </w:pPr>
      <w:r>
        <w:rPr>
          <w:color w:val="00000A"/>
          <w:lang w:val="en-GB"/>
        </w:rPr>
        <w:t>Since this proposed pattern format is new, and the Alexandrian format has a 50-year tradition, let’s compare how they line up to each other.  Table 3 maps from the Alexandrian format to the proposed service systems thinking format.</w:t>
      </w:r>
    </w:p>
    <w:p>
      <w:pPr>
        <w:pStyle w:val="Caption1"/>
        <w:keepNext/>
        <w:rPr/>
      </w:pPr>
      <w:r>
        <w:rPr/>
        <w:t xml:space="preserve">Table </w:t>
      </w:r>
      <w:r>
        <w:rPr/>
        <w:fldChar w:fldCharType="begin"/>
      </w:r>
      <w:r>
        <w:instrText> SEQ Table \* ARABIC </w:instrText>
      </w:r>
      <w:r>
        <w:fldChar w:fldCharType="separate"/>
      </w:r>
      <w:r>
        <w:t>3</w:t>
      </w:r>
      <w:r>
        <w:fldChar w:fldCharType="end"/>
      </w:r>
      <w:r>
        <w:rPr/>
        <w:t>: From Alexandrian format, mapped to proposed service systems thinking</w:t>
      </w:r>
    </w:p>
    <w:tbl>
      <w:tblPr>
        <w:tblW w:w="9071" w:type="dxa"/>
        <w:jc w:val="left"/>
        <w:tblInd w:w="-2" w:type="dxa"/>
        <w:tblBorders>
          <w:top w:val="single" w:sz="2" w:space="0" w:color="B3B3B3"/>
          <w:left w:val="single" w:sz="2" w:space="0" w:color="B3B3B3"/>
          <w:bottom w:val="single" w:sz="2" w:space="0" w:color="B3B3B3"/>
          <w:insideH w:val="single" w:sz="2" w:space="0" w:color="B3B3B3"/>
        </w:tblBorders>
        <w:tblCellMar>
          <w:top w:w="0" w:type="dxa"/>
          <w:left w:w="-2" w:type="dxa"/>
          <w:bottom w:w="0" w:type="dxa"/>
          <w:right w:w="0" w:type="dxa"/>
        </w:tblCellMar>
      </w:tblPr>
      <w:tblGrid>
        <w:gridCol w:w="1523"/>
        <w:gridCol w:w="2890"/>
        <w:gridCol w:w="127"/>
        <w:gridCol w:w="1923"/>
        <w:gridCol w:w="2608"/>
      </w:tblGrid>
      <w:tr>
        <w:trPr>
          <w:cantSplit w:val="true"/>
        </w:trPr>
        <w:tc>
          <w:tcPr>
            <w:tcW w:w="4413" w:type="dxa"/>
            <w:gridSpan w:val="2"/>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t>Alexandrian format (for production systems)</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4531" w:type="dxa"/>
            <w:gridSpan w:val="2"/>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t>Proposed format for service systems thinking</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 Pattern name (plus headline)</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A place or spatial feature, phrased as noun or adjective-noun, headlined with essence of the problem</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 Pattern label</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An interaction phrased as a present participle</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(ii) Completions of larger patterns</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Introductory context for the pattern, explaining how it helps to to complete certain larger patterns.</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(v) Containing systems (slower and larger)</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Constraining conditions in which the pattern operates, potentially where multi-issue messes are dissolved</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(iii) Range of contexts</w:t>
            </w:r>
          </w:p>
          <w:p>
            <w:pPr>
              <w:pStyle w:val="TableContents"/>
              <w:jc w:val="left"/>
              <w:rPr/>
            </w:pPr>
            <w:r>
              <w:rPr>
                <w:b w:val="false"/>
                <w:bCs w:val="false"/>
              </w:rPr>
              <w:t>(physical feature, set of conditions)</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val="false"/>
                <w:b w:val="false"/>
                <w:bCs w:val="false"/>
              </w:rPr>
            </w:pPr>
            <w:r>
              <w:rPr>
                <w:b w:val="false"/>
                <w:bCs w:val="false"/>
              </w:rPr>
              <w:t>Where this pattern is applicable, the range in which the system of forces can be brought into balance with physical relationships.</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b/>
                <w:bCs/>
              </w:rPr>
            </w:pPr>
            <w:r>
              <w:rPr>
                <w:b/>
                <w:bCs/>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Normal"/>
              <w:spacing w:before="0" w:after="200"/>
              <w:jc w:val="left"/>
              <w:rPr/>
            </w:pPr>
            <w:r>
              <w:rPr>
                <w:b w:val="false"/>
                <w:bCs w:val="false"/>
              </w:rPr>
              <w:t xml:space="preserve">(iv) Spatio-temporal frames </w:t>
              <w:br/>
              <w:t>(where and when)</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Occasions at which dwelling in issues and affordances are salient and at hand</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(iv) Problem to be solved</w:t>
            </w:r>
          </w:p>
          <w:p>
            <w:pPr>
              <w:pStyle w:val="TableContents"/>
              <w:jc w:val="left"/>
              <w:rPr/>
            </w:pPr>
            <w:r>
              <w:rPr/>
              <w:t>(system of forces)</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Empirical background, evidence for validity, range of ways the pattern can be manifested.</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(ii) Voices on issues (who and what)</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 xml:space="preserve">Archetypal roles of stakeholders, with concerns and interests posed as questions </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(v) Solution</w:t>
            </w:r>
          </w:p>
          <w:p>
            <w:pPr>
              <w:pStyle w:val="TableContents"/>
              <w:jc w:val="left"/>
              <w:rPr/>
            </w:pPr>
            <w:r>
              <w:rPr>
                <w:b w:val="false"/>
                <w:bCs w:val="false"/>
              </w:rPr>
              <w:t>(configuration of forces)</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bCs/>
              </w:rPr>
              <w:t>The field of physical and social relationships which are required to solve the stated problem in the stated context.</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b/>
                <w:bCs/>
              </w:rPr>
            </w:pPr>
            <w:r>
              <w:rPr>
                <w:b/>
                <w:bCs/>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(iii) Affording value(s)</w:t>
              <w:br/>
              <w:t>(how and why)</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u w:val="none"/>
              </w:rPr>
              <w:t>Objects and/or events that enable modes of practised capacities for independent or mutual action</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Fonts w:eastAsia="Arial" w:cs="Arial"/>
              </w:rPr>
              <w:t>◊</w:t>
            </w:r>
            <w:r>
              <w:rPr>
                <w:rFonts w:eastAsia="" w:cs="Times New Roman"/>
              </w:rPr>
              <w:t xml:space="preserve"> </w:t>
            </w:r>
            <w:r>
              <w:rPr>
                <w:rFonts w:eastAsia="Arial" w:cs="Arial"/>
              </w:rPr>
              <w:t>◊</w:t>
            </w:r>
            <w:r>
              <w:rPr>
                <w:rFonts w:eastAsia="" w:cs="Times New Roman"/>
              </w:rPr>
              <w:t xml:space="preserve"> </w:t>
            </w:r>
            <w:r>
              <w:rPr>
                <w:rFonts w:eastAsia="Arial" w:cs="Arial"/>
              </w:rPr>
              <w:t>◊</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(vi) Completions to smaller patterns</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Ties from pattern to smaller patterns in the language</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 xml:space="preserve">(vi) Contained systems </w:t>
              <w:br/>
              <w:t>(faster and smaller)</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Opportunistic conditions which the pattern contains, potentially allowing ad hoc resolving of a specific issue at hand</w:t>
            </w:r>
          </w:p>
        </w:tc>
      </w:tr>
    </w:tbl>
    <w:p>
      <w:pPr>
        <w:pStyle w:val="Normal"/>
        <w:rPr/>
      </w:pPr>
      <w:r>
        <w:rPr>
          <w:color w:val="00000A"/>
          <w:lang w:val="en-US" w:eastAsia="ja-JP"/>
        </w:rPr>
        <w:br/>
        <w:t>Let’s detail the formats, ordered from the new (on the right) to the tradition (on the left).</w:t>
      </w:r>
    </w:p>
    <w:p>
      <w:pPr>
        <w:pStyle w:val="Normal"/>
        <w:rPr/>
      </w:pPr>
      <w:r>
        <w:rPr>
          <w:i/>
          <w:iCs/>
          <w:lang w:val="en-GB"/>
        </w:rPr>
        <w:t>(i) Pattern label c.f. Alexandrian pattern name</w:t>
      </w:r>
      <w:r>
        <w:rPr>
          <w:lang w:val="en-GB"/>
        </w:rPr>
        <w:t>:  A service system involves an interaction – minimally between a beneficiary and a provider – and thus can be expressed as a present participle.  Attaching an "-ing" suffix to a verb in English changes it to a continuous form.  For conciseness, a participial phrase with a noun suffices (and a longer expression draws risks of a dangling participle).  Alexandrian pattern names are typically nouns, or adjective-nouns describing a place or a spatial feature.</w:t>
      </w:r>
    </w:p>
    <w:p>
      <w:pPr>
        <w:pStyle w:val="Normal"/>
        <w:rPr/>
      </w:pPr>
      <w:r>
        <w:rPr>
          <w:i/>
          <w:iCs/>
          <w:lang w:val="en-GB"/>
        </w:rPr>
        <w:t>(ii) Voices on issues c.f. Alexandrian problem to be solved</w:t>
      </w:r>
      <w:r>
        <w:rPr>
          <w:lang w:val="en-GB"/>
        </w:rPr>
        <w:t xml:space="preserve">:  A service system introduces human perspectives into a pattern, adding a </w:t>
      </w:r>
      <w:r>
        <w:rPr>
          <w:i/>
          <w:iCs/>
          <w:lang w:val="en-GB"/>
        </w:rPr>
        <w:t>who</w:t>
      </w:r>
      <w:r>
        <w:rPr>
          <w:lang w:val="en-GB"/>
        </w:rPr>
        <w:t xml:space="preserve"> to the </w:t>
      </w:r>
      <w:r>
        <w:rPr>
          <w:i/>
          <w:iCs/>
          <w:lang w:val="en-GB"/>
        </w:rPr>
        <w:t>what</w:t>
      </w:r>
      <w:r>
        <w:rPr>
          <w:lang w:val="en-GB"/>
        </w:rPr>
        <w:t xml:space="preserve"> that an Alexandrian problem expresses.  Voices are heard (or not heard) from archetypal roles of stakeholders. Stakeholders of a service system could include not only beneficiaries, sponsors and funders, but also neighbours and regulatory bodies seeking constraints on impacts (sometimes called externalities).  Expressing issues as questions, rather than problem as statements, can serve as checklist for determining whether an issue has been dealt with, or at least acknowledged.</w:t>
      </w:r>
    </w:p>
    <w:p>
      <w:pPr>
        <w:pStyle w:val="Normal"/>
        <w:rPr/>
      </w:pPr>
      <w:r>
        <w:rPr>
          <w:lang w:val="en-GB"/>
        </w:rPr>
        <w:t>Types of issues (independently of voices) have been categorized for argumentative planning information systems.</w:t>
      </w:r>
    </w:p>
    <w:p>
      <w:pPr>
        <w:pStyle w:val="Quote"/>
        <w:rPr/>
      </w:pPr>
      <w:r>
        <w:rPr/>
        <w:t>Corresponding to the four types of knowledge, there are four types of ignorances, coresponding to four types of issues:</w:t>
      </w:r>
    </w:p>
    <w:p>
      <w:pPr>
        <w:pStyle w:val="Quote"/>
        <w:numPr>
          <w:ilvl w:val="0"/>
          <w:numId w:val="3"/>
        </w:numPr>
        <w:spacing w:before="0" w:after="0"/>
        <w:jc w:val="left"/>
        <w:rPr/>
      </w:pPr>
      <w:r>
        <w:rPr/>
        <w:t>F-issues:  "What is/was/will be the case with X?"</w:t>
      </w:r>
    </w:p>
    <w:p>
      <w:pPr>
        <w:pStyle w:val="Quote"/>
        <w:numPr>
          <w:ilvl w:val="0"/>
          <w:numId w:val="3"/>
        </w:numPr>
        <w:spacing w:before="0" w:after="0"/>
        <w:jc w:val="left"/>
        <w:rPr/>
      </w:pPr>
      <w:r>
        <w:rPr/>
        <w:t>D-issues: "What ought to be/become the case with X?"</w:t>
      </w:r>
    </w:p>
    <w:p>
      <w:pPr>
        <w:pStyle w:val="Quote"/>
        <w:numPr>
          <w:ilvl w:val="0"/>
          <w:numId w:val="3"/>
        </w:numPr>
        <w:spacing w:before="0" w:after="0"/>
        <w:jc w:val="left"/>
        <w:rPr/>
      </w:pPr>
      <w:r>
        <w:rPr/>
        <w:t>E-issues: "Why is/was/will be Y the case with X?"</w:t>
      </w:r>
    </w:p>
    <w:p>
      <w:pPr>
        <w:pStyle w:val="Quote"/>
        <w:numPr>
          <w:ilvl w:val="0"/>
          <w:numId w:val="3"/>
        </w:numPr>
        <w:rPr/>
      </w:pPr>
      <w:r>
        <w:rPr/>
        <w:t xml:space="preserve">I-issues: "What are the possibilities to accomplish X?" </w:t>
      </w:r>
      <w:bookmarkStart w:id="2485" w:name="__UnoMark__23555_140394355"/>
      <w:bookmarkStart w:id="2486" w:name="__UnoMark__17334_140394355"/>
      <w:bookmarkStart w:id="2487" w:name="__UnoMark__15948_140394355"/>
      <w:bookmarkStart w:id="2488" w:name="__UnoMark__3494_1689624541"/>
      <w:bookmarkStart w:id="2489" w:name="__UnoMark__6357_41873585"/>
      <w:bookmarkStart w:id="2490" w:name="__UnoMark__5864_41873585"/>
      <w:bookmarkStart w:id="2491" w:name="__UnoMark__5351_41873585"/>
      <w:bookmarkStart w:id="2492" w:name="__UnoMark__4862_41873585"/>
      <w:bookmarkStart w:id="2493" w:name="__UnoMark__3147_1689624541"/>
      <w:bookmarkStart w:id="2494" w:name="__UnoMark__6142_60934169"/>
      <w:bookmarkStart w:id="2495" w:name="ZOTERO_BREF_5NaSf0o8UFeA"/>
      <w:bookmarkStart w:id="2496" w:name="__UnoMark__6496_60934169"/>
      <w:bookmarkStart w:id="2497" w:name="__UnoMark__6810_60934169"/>
      <w:bookmarkStart w:id="2498" w:name="__UnoMark__7433_41873585"/>
      <w:bookmarkStart w:id="2499" w:name="__UnoMark__6955_41873585"/>
      <w:bookmarkStart w:id="2500" w:name="__UnoMark__5787_1443136783"/>
      <w:bookmarkStart w:id="2501" w:name="__UnoMark__11857_722878254"/>
      <w:bookmarkStart w:id="2502" w:name="__UnoMark__12525_722878254"/>
      <w:bookmarkStart w:id="2503" w:name="__UnoMark__13206_722878254"/>
      <w:bookmarkStart w:id="2504" w:name="__UnoMark__7154_1586897740"/>
      <w:bookmarkStart w:id="2505" w:name="__UnoMark__14960_1661744717"/>
      <w:bookmarkStart w:id="2506" w:name="__UnoMark__16708_1661744717"/>
      <w:bookmarkStart w:id="2507" w:name="__UnoMark__17599_1661744717"/>
      <w:bookmarkStart w:id="2508" w:name="__UnoMark__17919_1661744717"/>
      <w:bookmarkStart w:id="2509" w:name="__UnoMark__4418_348219782"/>
      <w:bookmarkStart w:id="2510" w:name="__UnoMark__3984_348219782"/>
      <w:bookmarkStart w:id="2511" w:name="__UnoMark__17384_1880123655"/>
      <w:bookmarkStart w:id="2512" w:name="__UnoMark__16337_1880123655"/>
      <w:bookmarkStart w:id="2513" w:name="__UnoMark__10994_283745954"/>
      <w:bookmarkStart w:id="2514" w:name="__UnoMark__10713_283745954"/>
      <w:bookmarkStart w:id="2515" w:name="__UnoMark__9617_283745954"/>
      <w:bookmarkStart w:id="2516" w:name="__UnoMark__15834_1661744717"/>
      <w:bookmarkStart w:id="2517" w:name="__UnoMark__8796_283745954"/>
      <w:bookmarkStart w:id="2518" w:name="__UnoMark__9443_435217427"/>
      <w:bookmarkStart w:id="2519" w:name="__UnoMark__25364_497913431"/>
      <w:bookmarkStart w:id="2520" w:name="__UnoMark__24503_497913431"/>
      <w:bookmarkStart w:id="2521" w:name="__UnoMark__23787_497913431"/>
      <w:bookmarkStart w:id="2522" w:name="__UnoMark__23083_497913431"/>
      <w:bookmarkStart w:id="2523" w:name="__UnoMark__18495_1880123655"/>
      <w:bookmarkStart w:id="2524" w:name="__UnoMark__7938_497913431"/>
      <w:bookmarkStart w:id="2525" w:name="__UnoMark__11413_1492540610"/>
      <w:bookmarkStart w:id="2526" w:name="__UnoMark__10793_1492540610"/>
      <w:bookmarkStart w:id="2527" w:name="__UnoMark__10159_1492540610"/>
      <w:bookmarkStart w:id="2528" w:name="__UnoMark__9560_1492540610"/>
      <w:bookmarkStart w:id="2529" w:name="__UnoMark__8964_1492540610"/>
      <w:bookmarkStart w:id="2530" w:name="__UnoMark__6114_1492540610"/>
      <w:bookmarkStart w:id="2531" w:name="__UnoMark__5529_1492540610"/>
      <w:bookmarkStart w:id="2532" w:name="__UnoMark__4218_599023520"/>
      <w:bookmarkStart w:id="2533" w:name="__UnoMark__3701_599023520"/>
      <w:bookmarkStart w:id="2534" w:name="__UnoMark__12916_1244819659"/>
      <w:bookmarkStart w:id="2535" w:name="__UnoMark__12773_1244819659"/>
      <w:bookmarkStart w:id="2536" w:name="__UnoMark__12343_1244819659"/>
      <w:bookmarkStart w:id="2537" w:name="__UnoMark__22324_497913431"/>
      <w:bookmarkStart w:id="2538" w:name="__UnoMark__27300_836371768"/>
      <w:bookmarkStart w:id="2539" w:name="__UnoMark__28445_836371768"/>
      <w:bookmarkStart w:id="2540" w:name="__UnoMark__29619_836371768"/>
      <w:bookmarkStart w:id="2541" w:name="__UnoMark__30780_836371768"/>
      <w:bookmarkStart w:id="2542" w:name="__UnoMark__40770_2025191570"/>
      <w:bookmarkStart w:id="2543" w:name="__UnoMark__41986_2025191570"/>
      <w:bookmarkStart w:id="2544" w:name="__UnoMark__43237_2025191570"/>
      <w:bookmarkStart w:id="2545" w:name="__UnoMark__44497_2025191570"/>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Pr/>
        <w:t>(Rittel, 1980, p. 12)</w:t>
      </w:r>
    </w:p>
    <w:p>
      <w:pPr>
        <w:pStyle w:val="Normal"/>
        <w:rPr/>
      </w:pPr>
      <w:r>
        <w:rPr>
          <w:lang w:val="en-GB"/>
        </w:rPr>
        <w:t>F-issues relate to factual knowledge, what is, was, or will become the case, more or less certainly.  D-issues relate to deontic knowledge, describing what out to be or become the case.  E-issues relate to explanatory knowledge, describing why something was, is or will become the case, pushing the search for resolution a step further.   I-issues related to instrumental knowledge, "know how" pertaining to potential action, manipulating the world of facts to arrive at an executable plan.</w:t>
      </w:r>
    </w:p>
    <w:p>
      <w:pPr>
        <w:pStyle w:val="Normal"/>
        <w:rPr/>
      </w:pPr>
      <w:r>
        <w:rPr>
          <w:lang w:val="en-GB"/>
        </w:rPr>
        <w:t xml:space="preserve">A problem exists when F-knowledge (factuals) contradict D-knowledge (deontics), i.e. something is not as it ought to be.  "Of course, all knowledge is always somebody’s knowledge; and different persons may contribute contradictory answers to the same question" </w:t>
      </w:r>
      <w:bookmarkStart w:id="2546" w:name="__UnoMark__23556_140394355"/>
      <w:bookmarkStart w:id="2547" w:name="__UnoMark__17335_140394355"/>
      <w:bookmarkStart w:id="2548" w:name="__UnoMark__15949_140394355"/>
      <w:bookmarkStart w:id="2549" w:name="__UnoMark__7434_41873585"/>
      <w:bookmarkStart w:id="2550" w:name="__UnoMark__4419_348219782"/>
      <w:bookmarkStart w:id="2551" w:name="__UnoMark__3985_348219782"/>
      <w:bookmarkStart w:id="2552" w:name="ZOTERO_BREF_oDaYoBPZvV9c"/>
      <w:bookmarkStart w:id="2553" w:name="__UnoMark__6784_60934169"/>
      <w:bookmarkStart w:id="2554" w:name="__UnoMark__6470_60934169"/>
      <w:bookmarkStart w:id="2555" w:name="__UnoMark__3148_1689624541"/>
      <w:bookmarkStart w:id="2556" w:name="__UnoMark__3495_1689624541"/>
      <w:bookmarkStart w:id="2557" w:name="__UnoMark__4863_41873585"/>
      <w:bookmarkStart w:id="2558" w:name="__UnoMark__5352_41873585"/>
      <w:bookmarkStart w:id="2559" w:name="__UnoMark__5865_41873585"/>
      <w:bookmarkStart w:id="2560" w:name="__UnoMark__6358_41873585"/>
      <w:bookmarkStart w:id="2561" w:name="__UnoMark__6956_41873585"/>
      <w:bookmarkStart w:id="2562" w:name="__UnoMark__5788_1443136783"/>
      <w:bookmarkStart w:id="2563" w:name="__UnoMark__11858_722878254"/>
      <w:bookmarkStart w:id="2564" w:name="__UnoMark__12526_722878254"/>
      <w:bookmarkStart w:id="2565" w:name="__UnoMark__13207_722878254"/>
      <w:bookmarkStart w:id="2566" w:name="__UnoMark__7155_1586897740"/>
      <w:bookmarkStart w:id="2567" w:name="__UnoMark__14961_1661744717"/>
      <w:bookmarkStart w:id="2568" w:name="__UnoMark__15835_1661744717"/>
      <w:bookmarkStart w:id="2569" w:name="__UnoMark__16709_1661744717"/>
      <w:bookmarkStart w:id="2570" w:name="__UnoMark__17600_1661744717"/>
      <w:bookmarkStart w:id="2571" w:name="__UnoMark__17920_1661744717"/>
      <w:bookmarkStart w:id="2572" w:name="__UnoMark__12344_1244819659"/>
      <w:bookmarkStart w:id="2573" w:name="__UnoMark__12774_1244819659"/>
      <w:bookmarkStart w:id="2574" w:name="__UnoMark__18496_1880123655"/>
      <w:bookmarkStart w:id="2575" w:name="__UnoMark__17385_1880123655"/>
      <w:bookmarkStart w:id="2576" w:name="__UnoMark__16338_1880123655"/>
      <w:bookmarkStart w:id="2577" w:name="__UnoMark__10995_283745954"/>
      <w:bookmarkStart w:id="2578" w:name="__UnoMark__10714_283745954"/>
      <w:bookmarkStart w:id="2579" w:name="__UnoMark__9618_283745954"/>
      <w:bookmarkStart w:id="2580" w:name="__UnoMark__8797_283745954"/>
      <w:bookmarkStart w:id="2581" w:name="__UnoMark__9444_435217427"/>
      <w:bookmarkStart w:id="2582" w:name="__UnoMark__25365_497913431"/>
      <w:bookmarkStart w:id="2583" w:name="__UnoMark__24504_497913431"/>
      <w:bookmarkStart w:id="2584" w:name="__UnoMark__23788_497913431"/>
      <w:bookmarkStart w:id="2585" w:name="__UnoMark__12917_1244819659"/>
      <w:bookmarkStart w:id="2586" w:name="__UnoMark__3702_599023520"/>
      <w:bookmarkStart w:id="2587" w:name="__UnoMark__4219_599023520"/>
      <w:bookmarkStart w:id="2588" w:name="__UnoMark__5530_1492540610"/>
      <w:bookmarkStart w:id="2589" w:name="__UnoMark__6115_1492540610"/>
      <w:bookmarkStart w:id="2590" w:name="__UnoMark__8965_1492540610"/>
      <w:bookmarkStart w:id="2591" w:name="__UnoMark__9561_1492540610"/>
      <w:bookmarkStart w:id="2592" w:name="__UnoMark__10160_1492540610"/>
      <w:bookmarkStart w:id="2593" w:name="__UnoMark__10794_1492540610"/>
      <w:bookmarkStart w:id="2594" w:name="__UnoMark__11414_1492540610"/>
      <w:bookmarkStart w:id="2595" w:name="__UnoMark__7939_497913431"/>
      <w:bookmarkStart w:id="2596" w:name="__UnoMark__22325_497913431"/>
      <w:bookmarkStart w:id="2597" w:name="__UnoMark__23084_497913431"/>
      <w:bookmarkStart w:id="2598" w:name="__UnoMark__27301_836371768"/>
      <w:bookmarkStart w:id="2599" w:name="__UnoMark__28446_836371768"/>
      <w:bookmarkStart w:id="2600" w:name="__UnoMark__29620_836371768"/>
      <w:bookmarkStart w:id="2601" w:name="__UnoMark__30781_836371768"/>
      <w:bookmarkStart w:id="2602" w:name="__UnoMark__40771_2025191570"/>
      <w:bookmarkStart w:id="2603" w:name="__UnoMark__41987_2025191570"/>
      <w:bookmarkStart w:id="2604" w:name="__UnoMark__43238_2025191570"/>
      <w:bookmarkStart w:id="2605" w:name="__UnoMark__44498_2025191570"/>
      <w:bookmarkStart w:id="2606" w:name="__UnoMark__6592_60934169"/>
      <w:bookmarkEnd w:id="2606"/>
      <w:r>
        <w:rPr>
          <w:lang w:val="en-GB"/>
        </w:rPr>
        <w:t>(Rittel, 1980, p. 12)</w:t>
      </w:r>
      <w:bookmarkStart w:id="2607" w:name="__UnoMark__6890_60934169"/>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7"/>
      <w:r>
        <w:rPr>
          <w:lang w:val="en-GB"/>
        </w:rPr>
        <w:t>.  Extending issues to explicitly identify voices recognizes personas or roles with collective or individualistic perspectives.</w:t>
      </w:r>
    </w:p>
    <w:p>
      <w:pPr>
        <w:pStyle w:val="Normal"/>
        <w:rPr/>
      </w:pPr>
      <w:r>
        <w:rPr>
          <w:lang w:val="en-GB"/>
        </w:rPr>
        <w:t xml:space="preserve">In the Alexandrian format, the range of contexts precedes the problem to be solved.  In a critical realist philosophy </w:t>
      </w:r>
      <w:bookmarkStart w:id="2608" w:name="__UnoMark__23557_140394355"/>
      <w:bookmarkStart w:id="2609" w:name="__UnoMark__17336_140394355"/>
      <w:bookmarkStart w:id="2610" w:name="__UnoMark__15950_140394355"/>
      <w:bookmarkStart w:id="2611" w:name="__UnoMark__5789_1443136783"/>
      <w:bookmarkStart w:id="2612" w:name="__UnoMark__6497_60934169"/>
      <w:bookmarkStart w:id="2613" w:name="__UnoMark__6168_60934169"/>
      <w:bookmarkStart w:id="2614" w:name="ZOTERO_BREF_3Fvuqg7dcAOz"/>
      <w:bookmarkStart w:id="2615" w:name="__UnoMark__5807_60934169"/>
      <w:bookmarkStart w:id="2616" w:name="__UnoMark__3149_1689624541"/>
      <w:bookmarkStart w:id="2617" w:name="__UnoMark__3496_1689624541"/>
      <w:bookmarkStart w:id="2618" w:name="__UnoMark__4864_41873585"/>
      <w:bookmarkStart w:id="2619" w:name="__UnoMark__5353_41873585"/>
      <w:bookmarkStart w:id="2620" w:name="__UnoMark__5866_41873585"/>
      <w:bookmarkStart w:id="2621" w:name="__UnoMark__6359_41873585"/>
      <w:bookmarkStart w:id="2622" w:name="__UnoMark__6957_41873585"/>
      <w:bookmarkStart w:id="2623" w:name="__UnoMark__7435_41873585"/>
      <w:bookmarkStart w:id="2624" w:name="__UnoMark__11859_722878254"/>
      <w:bookmarkStart w:id="2625" w:name="__UnoMark__12527_722878254"/>
      <w:bookmarkStart w:id="2626" w:name="__UnoMark__13208_722878254"/>
      <w:bookmarkStart w:id="2627" w:name="__UnoMark__7156_1586897740"/>
      <w:bookmarkStart w:id="2628" w:name="__UnoMark__14962_1661744717"/>
      <w:bookmarkStart w:id="2629" w:name="__UnoMark__15836_1661744717"/>
      <w:bookmarkStart w:id="2630" w:name="__UnoMark__16710_1661744717"/>
      <w:bookmarkStart w:id="2631" w:name="__UnoMark__17601_1661744717"/>
      <w:bookmarkStart w:id="2632" w:name="__UnoMark__17921_1661744717"/>
      <w:bookmarkStart w:id="2633" w:name="__UnoMark__3986_348219782"/>
      <w:bookmarkStart w:id="2634" w:name="__UnoMark__6811_60934169"/>
      <w:bookmarkStart w:id="2635" w:name="__UnoMark__10996_283745954"/>
      <w:bookmarkStart w:id="2636" w:name="__UnoMark__18497_1880123655"/>
      <w:bookmarkStart w:id="2637" w:name="__UnoMark__17386_1880123655"/>
      <w:bookmarkStart w:id="2638" w:name="__UnoMark__16339_1880123655"/>
      <w:bookmarkStart w:id="2639" w:name="__UnoMark__10715_283745954"/>
      <w:bookmarkStart w:id="2640" w:name="__UnoMark__9619_283745954"/>
      <w:bookmarkStart w:id="2641" w:name="__UnoMark__8798_283745954"/>
      <w:bookmarkStart w:id="2642" w:name="__UnoMark__9445_435217427"/>
      <w:bookmarkStart w:id="2643" w:name="__UnoMark__25366_497913431"/>
      <w:bookmarkStart w:id="2644" w:name="__UnoMark__24505_497913431"/>
      <w:bookmarkStart w:id="2645" w:name="__UnoMark__23789_497913431"/>
      <w:bookmarkStart w:id="2646" w:name="__UnoMark__23085_497913431"/>
      <w:bookmarkStart w:id="2647" w:name="__UnoMark__22326_497913431"/>
      <w:bookmarkStart w:id="2648" w:name="__UnoMark__7940_497913431"/>
      <w:bookmarkStart w:id="2649" w:name="__UnoMark__11415_1492540610"/>
      <w:bookmarkStart w:id="2650" w:name="__UnoMark__10795_1492540610"/>
      <w:bookmarkStart w:id="2651" w:name="__UnoMark__10161_1492540610"/>
      <w:bookmarkStart w:id="2652" w:name="__UnoMark__9562_1492540610"/>
      <w:bookmarkStart w:id="2653" w:name="__UnoMark__8966_1492540610"/>
      <w:bookmarkStart w:id="2654" w:name="__UnoMark__6116_1492540610"/>
      <w:bookmarkStart w:id="2655" w:name="__UnoMark__5531_1492540610"/>
      <w:bookmarkStart w:id="2656" w:name="__UnoMark__4220_599023520"/>
      <w:bookmarkStart w:id="2657" w:name="__UnoMark__3703_599023520"/>
      <w:bookmarkStart w:id="2658" w:name="__UnoMark__12918_1244819659"/>
      <w:bookmarkStart w:id="2659" w:name="__UnoMark__12775_1244819659"/>
      <w:bookmarkStart w:id="2660" w:name="__UnoMark__12345_1244819659"/>
      <w:bookmarkStart w:id="2661" w:name="__UnoMark__4420_348219782"/>
      <w:bookmarkStart w:id="2662" w:name="__UnoMark__27302_836371768"/>
      <w:bookmarkStart w:id="2663" w:name="__UnoMark__28447_836371768"/>
      <w:bookmarkStart w:id="2664" w:name="__UnoMark__29621_836371768"/>
      <w:bookmarkStart w:id="2665" w:name="__UnoMark__30782_836371768"/>
      <w:bookmarkStart w:id="2666" w:name="__UnoMark__40772_2025191570"/>
      <w:bookmarkStart w:id="2667" w:name="__UnoMark__41988_2025191570"/>
      <w:bookmarkStart w:id="2668" w:name="__UnoMark__43239_2025191570"/>
      <w:bookmarkStart w:id="2669" w:name="__UnoMark__44499_2025191570"/>
      <w:r>
        <w:rPr>
          <w:lang w:val="en-GB"/>
        </w:rPr>
        <w:t>(Aligica, 2011)</w:t>
      </w:r>
      <w:bookmarkStart w:id="2670" w:name="__UnoMark__5907_60934169"/>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r>
        <w:rPr>
          <w:lang w:val="en-GB"/>
        </w:rPr>
        <w:t xml:space="preserve">, forces would be seen as existing, even if they are unobserved by human beings.  This represents one side of the "if a tree falls in a forest and no one is around to hear it, does it make a sound?" thought experiment.  On the other side, since a service system definitionally include human beings, voices that have issues associated with qualities of services that are absent will still have their lives impacted by others making decisions on their behalf.  For a pattern language format for service systems thinking, ordering </w:t>
      </w:r>
      <w:r>
        <w:rPr>
          <w:i/>
          <w:iCs/>
          <w:lang w:val="en-GB"/>
        </w:rPr>
        <w:t>voices on issues</w:t>
      </w:r>
      <w:r>
        <w:rPr>
          <w:lang w:val="en-GB"/>
        </w:rPr>
        <w:t xml:space="preserve"> first precedes decisions about resulting action (or inaction).</w:t>
      </w:r>
    </w:p>
    <w:p>
      <w:pPr>
        <w:pStyle w:val="Normal"/>
        <w:rPr/>
      </w:pPr>
      <w:r>
        <w:rPr>
          <w:lang w:val="en-GB"/>
        </w:rPr>
        <w:t>An issue for a service system could be expressed as a one-to-many relation.  An Alexandrian pattern is expressed as a relation of one context to one problem to one solution.</w:t>
      </w:r>
    </w:p>
    <w:p>
      <w:pPr>
        <w:pStyle w:val="Normal"/>
        <w:rPr/>
      </w:pPr>
      <w:r>
        <w:rPr>
          <w:i/>
          <w:iCs/>
          <w:lang w:val="en-GB"/>
        </w:rPr>
        <w:t>(iii) Affording value(s) c.f. Alexandrian solution</w:t>
      </w:r>
      <w:r>
        <w:rPr>
          <w:lang w:val="en-GB"/>
        </w:rPr>
        <w:t xml:space="preserve">:  Affording an action possibility </w:t>
      </w:r>
      <w:r>
        <w:rPr>
          <w:lang w:val="en-GB"/>
        </w:rPr>
        <w:t xml:space="preserve">with value </w:t>
      </w:r>
      <w:r>
        <w:rPr>
          <w:lang w:val="en-GB"/>
        </w:rPr>
        <w:t>for a service system under specified conditions is neither necessary nor sufficient to resolve an issue.   With an affordance, an object or event becomes available for an individual or a group to use in practice.  An Alexandrian solution is a configuration of (physical and social) forces necessary to resolve the problem within the range of contexts, and sufficient when the larger patterns and smaller patterns are also completed.</w:t>
      </w:r>
    </w:p>
    <w:p>
      <w:pPr>
        <w:pStyle w:val="Normal"/>
        <w:rPr/>
      </w:pPr>
      <w:r>
        <w:rPr>
          <w:lang w:val="en-GB"/>
        </w:rPr>
        <w:t xml:space="preserve">In comparing service systems to built environments, the distinction between affording an action possibility </w:t>
      </w:r>
      <w:r>
        <w:rPr>
          <w:lang w:val="en-GB"/>
        </w:rPr>
        <w:t xml:space="preserve">for value </w:t>
      </w:r>
      <w:r>
        <w:rPr>
          <w:lang w:val="en-GB"/>
        </w:rPr>
        <w:t xml:space="preserve">and requiring a specific configuration of forces inserts details about human will into the faithfulness of a normative model to its reality-in-creation.  If we consider service systems such as banking and mail delivery, "the map is the territory" could be functional in way that "the map is not the territory" exactly specified blueprint is not.  Customer-facing representatives of banks and post offices may be encouraged to be friendly to customers, but their behaviours are constrained and closely audited for their adherence to standard business processes.  The "map becomes the territory" as a source of order – potentially constructively or destructively – in underorganized systems.  "In a socially constructed world, the map creates and labels the territory, which means the map also prefigures action and perception and encourages self-fulfilling prophecies" </w:t>
      </w:r>
      <w:bookmarkStart w:id="2671" w:name="__UnoMark__23558_140394355"/>
      <w:bookmarkStart w:id="2672" w:name="__UnoMark__17337_140394355"/>
      <w:bookmarkStart w:id="2673" w:name="__UnoMark__15951_140394355"/>
      <w:bookmarkStart w:id="2674" w:name="__UnoMark__5354_41873585"/>
      <w:bookmarkStart w:id="2675" w:name="__UnoMark__7436_41873585"/>
      <w:bookmarkStart w:id="2676" w:name="__UnoMark__6958_41873585"/>
      <w:bookmarkStart w:id="2677" w:name="__UnoMark__6360_41873585"/>
      <w:bookmarkStart w:id="2678" w:name="__UnoMark__5867_41873585"/>
      <w:bookmarkStart w:id="2679" w:name="__UnoMark__4865_41873585"/>
      <w:bookmarkStart w:id="2680" w:name="__UnoMark__3497_1689624541"/>
      <w:bookmarkStart w:id="2681" w:name="__UnoMark__3150_1689624541"/>
      <w:bookmarkStart w:id="2682" w:name="ZOTERO_BREF_B3Jq5GCZC9Jp"/>
      <w:bookmarkStart w:id="2683" w:name="__UnoMark__3987_348219782"/>
      <w:bookmarkStart w:id="2684" w:name="__UnoMark__11860_722878254"/>
      <w:bookmarkStart w:id="2685" w:name="__UnoMark__5790_1443136783"/>
      <w:bookmarkStart w:id="2686" w:name="__UnoMark__12528_722878254"/>
      <w:bookmarkStart w:id="2687" w:name="__UnoMark__13209_722878254"/>
      <w:bookmarkStart w:id="2688" w:name="__UnoMark__7157_1586897740"/>
      <w:bookmarkStart w:id="2689" w:name="__UnoMark__14963_1661744717"/>
      <w:bookmarkStart w:id="2690" w:name="__UnoMark__15837_1661744717"/>
      <w:bookmarkStart w:id="2691" w:name="__UnoMark__16711_1661744717"/>
      <w:bookmarkStart w:id="2692" w:name="__UnoMark__17602_1661744717"/>
      <w:bookmarkStart w:id="2693" w:name="__UnoMark__17922_1661744717"/>
      <w:bookmarkStart w:id="2694" w:name="__UnoMark__12346_1244819659"/>
      <w:bookmarkStart w:id="2695" w:name="__UnoMark__4421_348219782"/>
      <w:bookmarkStart w:id="2696" w:name="__UnoMark__18498_1880123655"/>
      <w:bookmarkStart w:id="2697" w:name="__UnoMark__17387_1880123655"/>
      <w:bookmarkStart w:id="2698" w:name="__UnoMark__16340_1880123655"/>
      <w:bookmarkStart w:id="2699" w:name="__UnoMark__10997_283745954"/>
      <w:bookmarkStart w:id="2700" w:name="__UnoMark__10716_283745954"/>
      <w:bookmarkStart w:id="2701" w:name="__UnoMark__9620_283745954"/>
      <w:bookmarkStart w:id="2702" w:name="__UnoMark__8799_283745954"/>
      <w:bookmarkStart w:id="2703" w:name="__UnoMark__9446_435217427"/>
      <w:bookmarkStart w:id="2704" w:name="__UnoMark__25367_497913431"/>
      <w:bookmarkStart w:id="2705" w:name="__UnoMark__24506_497913431"/>
      <w:bookmarkStart w:id="2706" w:name="__UnoMark__23790_497913431"/>
      <w:bookmarkStart w:id="2707" w:name="__UnoMark__23086_497913431"/>
      <w:bookmarkStart w:id="2708" w:name="__UnoMark__22327_497913431"/>
      <w:bookmarkStart w:id="2709" w:name="__UnoMark__7941_497913431"/>
      <w:bookmarkStart w:id="2710" w:name="__UnoMark__11416_1492540610"/>
      <w:bookmarkStart w:id="2711" w:name="__UnoMark__10796_1492540610"/>
      <w:bookmarkStart w:id="2712" w:name="__UnoMark__10162_1492540610"/>
      <w:bookmarkStart w:id="2713" w:name="__UnoMark__9563_1492540610"/>
      <w:bookmarkStart w:id="2714" w:name="__UnoMark__8967_1492540610"/>
      <w:bookmarkStart w:id="2715" w:name="__UnoMark__6117_1492540610"/>
      <w:bookmarkStart w:id="2716" w:name="__UnoMark__5532_1492540610"/>
      <w:bookmarkStart w:id="2717" w:name="__UnoMark__4221_599023520"/>
      <w:bookmarkStart w:id="2718" w:name="__UnoMark__3704_599023520"/>
      <w:bookmarkStart w:id="2719" w:name="__UnoMark__12919_1244819659"/>
      <w:bookmarkStart w:id="2720" w:name="__UnoMark__12776_1244819659"/>
      <w:bookmarkStart w:id="2721" w:name="__UnoMark__27303_836371768"/>
      <w:bookmarkStart w:id="2722" w:name="__UnoMark__28448_836371768"/>
      <w:bookmarkStart w:id="2723" w:name="__UnoMark__29622_836371768"/>
      <w:bookmarkStart w:id="2724" w:name="__UnoMark__30783_836371768"/>
      <w:bookmarkStart w:id="2725" w:name="__UnoMark__40773_2025191570"/>
      <w:bookmarkStart w:id="2726" w:name="__UnoMark__41989_2025191570"/>
      <w:bookmarkStart w:id="2727" w:name="__UnoMark__43240_2025191570"/>
      <w:bookmarkStart w:id="2728" w:name="__UnoMark__44500_2025191570"/>
      <w:r>
        <w:rPr>
          <w:lang w:val="en-GB"/>
        </w:rPr>
        <w:t>(Weick, 1989, p. 249)</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r>
        <w:rPr>
          <w:lang w:val="en-GB"/>
        </w:rPr>
        <w:t>.  In periods of high uncertainty, service systems could perhaps maintain some coherence organizing around a cartographic myth:</w:t>
      </w:r>
    </w:p>
    <w:p>
      <w:pPr>
        <w:pStyle w:val="Quote"/>
        <w:rPr/>
      </w:pPr>
      <w:r>
        <w:rPr/>
        <w:t xml:space="preserve">[A cartographic myth is called] in honor of the wonderful story in which a Hungarian army unit, lost in the Alps, finds a map, and follows it to safety only to discover that it is a map of the Pyrennes and not a map of the Alps.  The heart of a cartographic myth is the belief that whatever map one has in hand or in mind, is a sufficiently credible version of the territory, that one can act intentionally. The important feature of any map is that it leads people to anticipate some order "out there". It matters less what particular order is portrayed than that an order of some kind is portrayed </w:t>
      </w:r>
      <w:bookmarkStart w:id="2729" w:name="__UnoMark__23559_140394355"/>
      <w:bookmarkStart w:id="2730" w:name="__UnoMark__17338_140394355"/>
      <w:bookmarkStart w:id="2731" w:name="__UnoMark__15952_140394355"/>
      <w:bookmarkStart w:id="2732" w:name="__UnoMark__7437_41873585"/>
      <w:bookmarkStart w:id="2733" w:name="__UnoMark__6959_41873585"/>
      <w:bookmarkStart w:id="2734" w:name="__UnoMark__6361_41873585"/>
      <w:bookmarkStart w:id="2735" w:name="__UnoMark__5868_41873585"/>
      <w:bookmarkStart w:id="2736" w:name="__UnoMark__5355_41873585"/>
      <w:bookmarkStart w:id="2737" w:name="__UnoMark__4866_41873585"/>
      <w:bookmarkStart w:id="2738" w:name="__UnoMark__3498_1689624541"/>
      <w:bookmarkStart w:id="2739" w:name="__UnoMark__3151_1689624541"/>
      <w:bookmarkStart w:id="2740" w:name="ZOTERO_BREF_RkhmAIdUAymC"/>
      <w:bookmarkStart w:id="2741" w:name="__UnoMark__3988_348219782"/>
      <w:bookmarkStart w:id="2742" w:name="__UnoMark__11861_722878254"/>
      <w:bookmarkStart w:id="2743" w:name="__UnoMark__5791_1443136783"/>
      <w:bookmarkStart w:id="2744" w:name="__UnoMark__12529_722878254"/>
      <w:bookmarkStart w:id="2745" w:name="__UnoMark__13210_722878254"/>
      <w:bookmarkStart w:id="2746" w:name="__UnoMark__7158_1586897740"/>
      <w:bookmarkStart w:id="2747" w:name="__UnoMark__14964_1661744717"/>
      <w:bookmarkStart w:id="2748" w:name="__UnoMark__15838_1661744717"/>
      <w:bookmarkStart w:id="2749" w:name="__UnoMark__16712_1661744717"/>
      <w:bookmarkStart w:id="2750" w:name="__UnoMark__17603_1661744717"/>
      <w:bookmarkStart w:id="2751" w:name="__UnoMark__17923_1661744717"/>
      <w:bookmarkStart w:id="2752" w:name="__UnoMark__12347_1244819659"/>
      <w:bookmarkStart w:id="2753" w:name="__UnoMark__4422_348219782"/>
      <w:bookmarkStart w:id="2754" w:name="__UnoMark__18499_1880123655"/>
      <w:bookmarkStart w:id="2755" w:name="__UnoMark__17388_1880123655"/>
      <w:bookmarkStart w:id="2756" w:name="__UnoMark__16341_1880123655"/>
      <w:bookmarkStart w:id="2757" w:name="__UnoMark__10998_283745954"/>
      <w:bookmarkStart w:id="2758" w:name="__UnoMark__10717_283745954"/>
      <w:bookmarkStart w:id="2759" w:name="__UnoMark__9621_283745954"/>
      <w:bookmarkStart w:id="2760" w:name="__UnoMark__8800_283745954"/>
      <w:bookmarkStart w:id="2761" w:name="__UnoMark__9447_435217427"/>
      <w:bookmarkStart w:id="2762" w:name="__UnoMark__25368_497913431"/>
      <w:bookmarkStart w:id="2763" w:name="__UnoMark__24507_497913431"/>
      <w:bookmarkStart w:id="2764" w:name="__UnoMark__23791_497913431"/>
      <w:bookmarkStart w:id="2765" w:name="__UnoMark__23087_497913431"/>
      <w:bookmarkStart w:id="2766" w:name="__UnoMark__22328_497913431"/>
      <w:bookmarkStart w:id="2767" w:name="__UnoMark__12777_1244819659"/>
      <w:bookmarkStart w:id="2768" w:name="__UnoMark__12920_1244819659"/>
      <w:bookmarkStart w:id="2769" w:name="__UnoMark__3705_599023520"/>
      <w:bookmarkStart w:id="2770" w:name="__UnoMark__4222_599023520"/>
      <w:bookmarkStart w:id="2771" w:name="__UnoMark__5533_1492540610"/>
      <w:bookmarkStart w:id="2772" w:name="__UnoMark__6118_1492540610"/>
      <w:bookmarkStart w:id="2773" w:name="__UnoMark__8968_1492540610"/>
      <w:bookmarkStart w:id="2774" w:name="__UnoMark__9564_1492540610"/>
      <w:bookmarkStart w:id="2775" w:name="__UnoMark__10163_1492540610"/>
      <w:bookmarkStart w:id="2776" w:name="__UnoMark__10797_1492540610"/>
      <w:bookmarkStart w:id="2777" w:name="__UnoMark__11417_1492540610"/>
      <w:bookmarkStart w:id="2778" w:name="__UnoMark__7942_497913431"/>
      <w:bookmarkStart w:id="2779" w:name="__UnoMark__27304_836371768"/>
      <w:bookmarkStart w:id="2780" w:name="__UnoMark__28449_836371768"/>
      <w:bookmarkStart w:id="2781" w:name="__UnoMark__29623_836371768"/>
      <w:bookmarkStart w:id="2782" w:name="__UnoMark__30784_836371768"/>
      <w:bookmarkStart w:id="2783" w:name="__UnoMark__40774_2025191570"/>
      <w:bookmarkStart w:id="2784" w:name="__UnoMark__41990_2025191570"/>
      <w:bookmarkStart w:id="2785" w:name="__UnoMark__43241_2025191570"/>
      <w:bookmarkStart w:id="2786" w:name="__UnoMark__44501_2025191570"/>
      <w:r>
        <w:rPr/>
        <w:t>(Weick, 1989, p. 244)</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Pr/>
        <w:t>.</w:t>
      </w:r>
    </w:p>
    <w:p>
      <w:pPr>
        <w:pStyle w:val="Normal"/>
        <w:rPr/>
      </w:pPr>
      <w:r>
        <w:rPr>
          <w:lang w:val="en-GB"/>
        </w:rPr>
        <w:t>The cartographic myth affords an action possibility for a group that might otherwise be directionless.  This is in contrast to the Alexandrian prescriptions about completeness in a pattern language.</w:t>
      </w:r>
    </w:p>
    <w:p>
      <w:pPr>
        <w:pStyle w:val="Quote"/>
        <w:rPr/>
      </w:pPr>
      <w:r>
        <w:rPr>
          <w:b/>
          <w:bCs/>
        </w:rPr>
        <w:t>A pattern only works, fully, when it deals with all the forces that actually present in the situation.</w:t>
      </w:r>
      <w:r>
        <w:rPr/>
        <w:t xml:space="preserve">  [….]  When we do find a pattern which does bring forces into balance, then this pattern will of course begin to generate the quality without a name … because it will contribute to that process in which the forces forces of the world run free.  On the other hand, a pattern always lack this quality if it resolves some forces at the expense of others which it leaves unresolved.  [….]</w:t>
      </w:r>
    </w:p>
    <w:p>
      <w:pPr>
        <w:pStyle w:val="Quote"/>
        <w:rPr/>
      </w:pPr>
      <w:r>
        <w:rPr>
          <w:b/>
          <w:bCs/>
        </w:rPr>
        <w:t xml:space="preserve">The difficulty is that we have no reliable way of knowing just exactly what the forces in the situation are. </w:t>
      </w:r>
      <w:r>
        <w:rPr/>
        <w:t xml:space="preserve"> The pattern is merely a mental image, which can help to predict those situations where forces will be in harmony, and those in which they won‘t.  But the actual forces which will occur in a real situation, although objectively present there, are, in the end, unpredictable, because each situation is so complex, and forces may grow, or die, according to subtle variations of circumstance </w:t>
      </w:r>
      <w:bookmarkStart w:id="2787" w:name="__UnoMark__23560_140394355"/>
      <w:bookmarkStart w:id="2788" w:name="__UnoMark__17339_140394355"/>
      <w:bookmarkStart w:id="2789" w:name="__UnoMark__15953_140394355"/>
      <w:bookmarkStart w:id="2790" w:name="__UnoMark__5356_41873585"/>
      <w:bookmarkStart w:id="2791" w:name="__UnoMark__6960_41873585"/>
      <w:bookmarkStart w:id="2792" w:name="__UnoMark__6362_41873585"/>
      <w:bookmarkStart w:id="2793" w:name="__UnoMark__5869_41873585"/>
      <w:bookmarkStart w:id="2794" w:name="__UnoMark__4867_41873585"/>
      <w:bookmarkStart w:id="2795" w:name="__UnoMark__3499_1689624541"/>
      <w:bookmarkStart w:id="2796" w:name="__UnoMark__3152_1689624541"/>
      <w:bookmarkStart w:id="2797" w:name="ZOTERO_BREF_1HOHSvUfV4kh"/>
      <w:bookmarkStart w:id="2798" w:name="__UnoMark__3989_348219782"/>
      <w:bookmarkStart w:id="2799" w:name="__UnoMark__5792_1443136783"/>
      <w:bookmarkStart w:id="2800" w:name="__UnoMark__7438_41873585"/>
      <w:bookmarkStart w:id="2801" w:name="__UnoMark__11862_722878254"/>
      <w:bookmarkStart w:id="2802" w:name="__UnoMark__12530_722878254"/>
      <w:bookmarkStart w:id="2803" w:name="__UnoMark__13211_722878254"/>
      <w:bookmarkStart w:id="2804" w:name="__UnoMark__7159_1586897740"/>
      <w:bookmarkStart w:id="2805" w:name="__UnoMark__14965_1661744717"/>
      <w:bookmarkStart w:id="2806" w:name="__UnoMark__15839_1661744717"/>
      <w:bookmarkStart w:id="2807" w:name="__UnoMark__16713_1661744717"/>
      <w:bookmarkStart w:id="2808" w:name="__UnoMark__17604_1661744717"/>
      <w:bookmarkStart w:id="2809" w:name="__UnoMark__17924_1661744717"/>
      <w:bookmarkStart w:id="2810" w:name="__UnoMark__12348_1244819659"/>
      <w:bookmarkStart w:id="2811" w:name="__UnoMark__4423_348219782"/>
      <w:bookmarkStart w:id="2812" w:name="__UnoMark__10164_1492540610"/>
      <w:bookmarkStart w:id="2813" w:name="__UnoMark__18500_1880123655"/>
      <w:bookmarkStart w:id="2814" w:name="__UnoMark__17389_1880123655"/>
      <w:bookmarkStart w:id="2815" w:name="__UnoMark__16342_1880123655"/>
      <w:bookmarkStart w:id="2816" w:name="__UnoMark__10999_283745954"/>
      <w:bookmarkStart w:id="2817" w:name="__UnoMark__10718_283745954"/>
      <w:bookmarkStart w:id="2818" w:name="__UnoMark__9622_283745954"/>
      <w:bookmarkStart w:id="2819" w:name="__UnoMark__8801_283745954"/>
      <w:bookmarkStart w:id="2820" w:name="__UnoMark__9448_435217427"/>
      <w:bookmarkStart w:id="2821" w:name="__UnoMark__25369_497913431"/>
      <w:bookmarkStart w:id="2822" w:name="__UnoMark__24508_497913431"/>
      <w:bookmarkStart w:id="2823" w:name="__UnoMark__23792_497913431"/>
      <w:bookmarkStart w:id="2824" w:name="__UnoMark__23088_497913431"/>
      <w:bookmarkStart w:id="2825" w:name="__UnoMark__12778_1244819659"/>
      <w:bookmarkStart w:id="2826" w:name="__UnoMark__12921_1244819659"/>
      <w:bookmarkStart w:id="2827" w:name="__UnoMark__3706_599023520"/>
      <w:bookmarkStart w:id="2828" w:name="__UnoMark__4223_599023520"/>
      <w:bookmarkStart w:id="2829" w:name="__UnoMark__5534_1492540610"/>
      <w:bookmarkStart w:id="2830" w:name="__UnoMark__6119_1492540610"/>
      <w:bookmarkStart w:id="2831" w:name="__UnoMark__8969_1492540610"/>
      <w:bookmarkStart w:id="2832" w:name="__UnoMark__9565_1492540610"/>
      <w:bookmarkStart w:id="2833" w:name="__UnoMark__10798_1492540610"/>
      <w:bookmarkStart w:id="2834" w:name="__UnoMark__11418_1492540610"/>
      <w:bookmarkStart w:id="2835" w:name="__UnoMark__7943_497913431"/>
      <w:bookmarkStart w:id="2836" w:name="__UnoMark__22329_497913431"/>
      <w:bookmarkStart w:id="2837" w:name="__UnoMark__27305_836371768"/>
      <w:bookmarkStart w:id="2838" w:name="__UnoMark__28450_836371768"/>
      <w:bookmarkStart w:id="2839" w:name="__UnoMark__29624_836371768"/>
      <w:bookmarkStart w:id="2840" w:name="__UnoMark__30785_836371768"/>
      <w:bookmarkStart w:id="2841" w:name="__UnoMark__40775_2025191570"/>
      <w:bookmarkStart w:id="2842" w:name="__UnoMark__41991_2025191570"/>
      <w:bookmarkStart w:id="2843" w:name="__UnoMark__43242_2025191570"/>
      <w:bookmarkStart w:id="2844" w:name="__UnoMark__44502_2025191570"/>
      <w:r>
        <w:rPr>
          <w:b w:val="false"/>
          <w:i w:val="false"/>
          <w:caps w:val="false"/>
          <w:smallCaps w:val="false"/>
          <w:position w:val="0"/>
          <w:sz w:val="22"/>
          <w:sz w:val="22"/>
          <w:u w:val="none"/>
          <w:vertAlign w:val="baseline"/>
        </w:rPr>
        <w:t>(Alexander, 1979, pp. 285–286)</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r>
        <w:rPr/>
        <w:t>.</w:t>
      </w:r>
    </w:p>
    <w:p>
      <w:pPr>
        <w:pStyle w:val="Normal"/>
        <w:rPr/>
      </w:pPr>
      <w:r>
        <w:rPr>
          <w:lang w:val="en-GB"/>
        </w:rPr>
        <w:t>Service systems thinking can benefit from self-reflections within the work of architects on shifting from behaviourist to interactionalist orientations.  While functionalism was common in early 20</w:t>
      </w:r>
      <w:r>
        <w:rPr>
          <w:vertAlign w:val="superscript"/>
          <w:lang w:val="en-GB"/>
        </w:rPr>
        <w:t>th</w:t>
      </w:r>
      <w:r>
        <w:rPr>
          <w:lang w:val="en-GB"/>
        </w:rPr>
        <w:t xml:space="preserve"> century Europe, architecture rose as a field after WWII, with logical analysis as the primary tool.</w:t>
      </w:r>
    </w:p>
    <w:p>
      <w:pPr>
        <w:pStyle w:val="Quote"/>
        <w:rPr/>
      </w:pPr>
      <w:r>
        <w:rPr>
          <w:lang w:val="en-GB"/>
        </w:rPr>
        <w:t>The new architects submitted blindly to an architectural belief system which stated that there was a manipulable relationship between behavior and environment.  "Behavior" mean defined activities as eating, sleeping and cooking: "environment" meant the physical environment. [….]</w:t>
      </w:r>
    </w:p>
    <w:p>
      <w:pPr>
        <w:pStyle w:val="Quote"/>
        <w:rPr/>
      </w:pPr>
      <w:r>
        <w:rPr>
          <w:lang w:val="en-GB"/>
        </w:rPr>
        <w:t xml:space="preserve">Evidence of the pervasiveness of the behaviorist creed can be seen in all corners of the field.  Housing research is still concentrating on "user needs" in a persistent search for a complete understanding of human behavior.  The goal of behaviorism is to develop "design criteria" that will result in the perfect fit between people and their personal setting </w:t>
      </w:r>
      <w:bookmarkStart w:id="2845" w:name="__UnoMark__23561_140394355"/>
      <w:bookmarkStart w:id="2846" w:name="__UnoMark__17340_140394355"/>
      <w:bookmarkStart w:id="2847" w:name="__UnoMark__15954_140394355"/>
      <w:bookmarkStart w:id="2848" w:name="__UnoMark__4424_348219782"/>
      <w:bookmarkStart w:id="2849" w:name="__UnoMark__3990_348219782"/>
      <w:bookmarkStart w:id="2850" w:name="__UnoMark__3121_1689624541"/>
      <w:bookmarkStart w:id="2851" w:name="ZOTERO_BREF_l6zJMGhq93kt"/>
      <w:bookmarkStart w:id="2852" w:name="__UnoMark__3500_1689624541"/>
      <w:bookmarkStart w:id="2853" w:name="__UnoMark__4868_41873585"/>
      <w:bookmarkStart w:id="2854" w:name="__UnoMark__5357_41873585"/>
      <w:bookmarkStart w:id="2855" w:name="__UnoMark__5870_41873585"/>
      <w:bookmarkStart w:id="2856" w:name="__UnoMark__6363_41873585"/>
      <w:bookmarkStart w:id="2857" w:name="__UnoMark__6961_41873585"/>
      <w:bookmarkStart w:id="2858" w:name="__UnoMark__7439_41873585"/>
      <w:bookmarkStart w:id="2859" w:name="__UnoMark__5793_1443136783"/>
      <w:bookmarkStart w:id="2860" w:name="__UnoMark__12531_722878254"/>
      <w:bookmarkStart w:id="2861" w:name="__UnoMark__13212_722878254"/>
      <w:bookmarkStart w:id="2862" w:name="__UnoMark__7160_1586897740"/>
      <w:bookmarkStart w:id="2863" w:name="__UnoMark__14966_1661744717"/>
      <w:bookmarkStart w:id="2864" w:name="__UnoMark__15840_1661744717"/>
      <w:bookmarkStart w:id="2865" w:name="__UnoMark__16714_1661744717"/>
      <w:bookmarkStart w:id="2866" w:name="__UnoMark__17605_1661744717"/>
      <w:bookmarkStart w:id="2867" w:name="__UnoMark__17925_1661744717"/>
      <w:bookmarkStart w:id="2868" w:name="__UnoMark__12349_1244819659"/>
      <w:bookmarkStart w:id="2869" w:name="__UnoMark__11863_722878254"/>
      <w:bookmarkStart w:id="2870" w:name="__UnoMark__18501_1880123655"/>
      <w:bookmarkStart w:id="2871" w:name="__UnoMark__17390_1880123655"/>
      <w:bookmarkStart w:id="2872" w:name="__UnoMark__16343_1880123655"/>
      <w:bookmarkStart w:id="2873" w:name="__UnoMark__11000_283745954"/>
      <w:bookmarkStart w:id="2874" w:name="__UnoMark__10719_283745954"/>
      <w:bookmarkStart w:id="2875" w:name="__UnoMark__9623_283745954"/>
      <w:bookmarkStart w:id="2876" w:name="__UnoMark__8802_283745954"/>
      <w:bookmarkStart w:id="2877" w:name="__UnoMark__9449_435217427"/>
      <w:bookmarkStart w:id="2878" w:name="__UnoMark__25370_497913431"/>
      <w:bookmarkStart w:id="2879" w:name="__UnoMark__24509_497913431"/>
      <w:bookmarkStart w:id="2880" w:name="__UnoMark__23793_497913431"/>
      <w:bookmarkStart w:id="2881" w:name="__UnoMark__23089_497913431"/>
      <w:bookmarkStart w:id="2882" w:name="__UnoMark__22330_497913431"/>
      <w:bookmarkStart w:id="2883" w:name="__UnoMark__12779_1244819659"/>
      <w:bookmarkStart w:id="2884" w:name="__UnoMark__12922_1244819659"/>
      <w:bookmarkStart w:id="2885" w:name="__UnoMark__3707_599023520"/>
      <w:bookmarkStart w:id="2886" w:name="__UnoMark__4224_599023520"/>
      <w:bookmarkStart w:id="2887" w:name="__UnoMark__5535_1492540610"/>
      <w:bookmarkStart w:id="2888" w:name="__UnoMark__6120_1492540610"/>
      <w:bookmarkStart w:id="2889" w:name="__UnoMark__8970_1492540610"/>
      <w:bookmarkStart w:id="2890" w:name="__UnoMark__9566_1492540610"/>
      <w:bookmarkStart w:id="2891" w:name="__UnoMark__10165_1492540610"/>
      <w:bookmarkStart w:id="2892" w:name="__UnoMark__10799_1492540610"/>
      <w:bookmarkStart w:id="2893" w:name="__UnoMark__11419_1492540610"/>
      <w:bookmarkStart w:id="2894" w:name="__UnoMark__7944_497913431"/>
      <w:bookmarkStart w:id="2895" w:name="__UnoMark__27306_836371768"/>
      <w:bookmarkStart w:id="2896" w:name="__UnoMark__28451_836371768"/>
      <w:bookmarkStart w:id="2897" w:name="__UnoMark__29625_836371768"/>
      <w:bookmarkStart w:id="2898" w:name="__UnoMark__30786_836371768"/>
      <w:bookmarkStart w:id="2899" w:name="__UnoMark__40776_2025191570"/>
      <w:bookmarkStart w:id="2900" w:name="__UnoMark__41992_2025191570"/>
      <w:bookmarkStart w:id="2901" w:name="__UnoMark__43243_2025191570"/>
      <w:bookmarkStart w:id="2902" w:name="__UnoMark__44503_2025191570"/>
      <w:r>
        <w:rPr>
          <w:lang w:val="en-GB"/>
        </w:rPr>
        <w:t>(Lerup, 1977, p. 18)</w:t>
      </w:r>
      <w:bookmarkStart w:id="2903" w:name="__UnoMark__3239_1689624541"/>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r>
        <w:rPr>
          <w:lang w:val="en-GB"/>
        </w:rPr>
        <w:t>.</w:t>
      </w:r>
    </w:p>
    <w:p>
      <w:pPr>
        <w:pStyle w:val="Normal"/>
        <w:rPr/>
      </w:pPr>
      <w:r>
        <w:rPr/>
        <w:t>As an alternative to focusing on behaviours, the interactionalist perspective observes how dwellers occupy buildings.</w:t>
      </w:r>
    </w:p>
    <w:p>
      <w:pPr>
        <w:pStyle w:val="Quote"/>
        <w:rPr/>
      </w:pPr>
      <w:r>
        <w:rPr/>
        <w:t xml:space="preserve">… </w:t>
      </w:r>
      <w:r>
        <w:rPr/>
        <w:t xml:space="preserve">people are not </w:t>
      </w:r>
      <w:r>
        <w:rPr>
          <w:b/>
          <w:bCs/>
        </w:rPr>
        <w:t>responding organisms</w:t>
      </w:r>
      <w:r>
        <w:rPr/>
        <w:t xml:space="preserve"> but </w:t>
      </w:r>
      <w:r>
        <w:rPr>
          <w:b/>
          <w:bCs/>
        </w:rPr>
        <w:t>active individuals</w:t>
      </w:r>
      <w:r>
        <w:rPr/>
        <w:t xml:space="preserve"> who in their approach to things produce meaning.  [….]  Behavior from our vantage point is no longer reaction but interaction (based on self-reflection and interpretation), which causes the meaning of the physical setting to become highly unpredictable and profoundly affects the attempt to form a perspective of the relation between people and architecture.  [….]</w:t>
      </w:r>
    </w:p>
    <w:p>
      <w:pPr>
        <w:pStyle w:val="Quote"/>
        <w:rPr/>
      </w:pPr>
      <w:r>
        <w:rPr/>
        <w:t>Human action, in the perspective of interaction, is a complicated matrix with unknown combinations – the result of which is considerable unpredictability, a marvelous unfinishedness and openness.  [….]</w:t>
      </w:r>
    </w:p>
    <w:p>
      <w:pPr>
        <w:pStyle w:val="Quote"/>
        <w:rPr/>
      </w:pPr>
      <w:r>
        <w:rPr/>
        <w:t xml:space="preserve">… </w:t>
      </w:r>
      <w:r>
        <w:rPr/>
        <w:t xml:space="preserve">one sees that the designer must learn how to live comfortably with the imprecisions of our understanding of human behavior.  And since design projects and proposals will become even more vulnerable to criticism when the dweller learns about the shaky basis for design, the designer must also relinquish control of the meaning making to the dwellers themselves, and realize that the built setting is only one aspect of the semantic of space </w:t>
      </w:r>
      <w:bookmarkStart w:id="2904" w:name="__UnoMark__23562_140394355"/>
      <w:bookmarkStart w:id="2905" w:name="__UnoMark__17341_140394355"/>
      <w:bookmarkStart w:id="2906" w:name="__UnoMark__15955_140394355"/>
      <w:bookmarkStart w:id="2907" w:name="__UnoMark__12350_1244819659"/>
      <w:bookmarkStart w:id="2908" w:name="__UnoMark__4425_348219782"/>
      <w:bookmarkStart w:id="2909" w:name="__UnoMark__3991_348219782"/>
      <w:bookmarkStart w:id="2910" w:name="ZOTERO_BREF_DkTdtuearZfM"/>
      <w:bookmarkStart w:id="2911" w:name="__UnoMark__4869_41873585"/>
      <w:bookmarkStart w:id="2912" w:name="__UnoMark__5358_41873585"/>
      <w:bookmarkStart w:id="2913" w:name="__UnoMark__5871_41873585"/>
      <w:bookmarkStart w:id="2914" w:name="__UnoMark__6364_41873585"/>
      <w:bookmarkStart w:id="2915" w:name="__UnoMark__6962_41873585"/>
      <w:bookmarkStart w:id="2916" w:name="__UnoMark__7440_41873585"/>
      <w:bookmarkStart w:id="2917" w:name="__UnoMark__5794_1443136783"/>
      <w:bookmarkStart w:id="2918" w:name="__UnoMark__12532_722878254"/>
      <w:bookmarkStart w:id="2919" w:name="__UnoMark__13213_722878254"/>
      <w:bookmarkStart w:id="2920" w:name="__UnoMark__7161_1586897740"/>
      <w:bookmarkStart w:id="2921" w:name="__UnoMark__14967_1661744717"/>
      <w:bookmarkStart w:id="2922" w:name="__UnoMark__15841_1661744717"/>
      <w:bookmarkStart w:id="2923" w:name="__UnoMark__16715_1661744717"/>
      <w:bookmarkStart w:id="2924" w:name="__UnoMark__17606_1661744717"/>
      <w:bookmarkStart w:id="2925" w:name="__UnoMark__17926_1661744717"/>
      <w:bookmarkStart w:id="2926" w:name="__UnoMark__12923_1244819659"/>
      <w:bookmarkStart w:id="2927" w:name="__UnoMark__11864_722878254"/>
      <w:bookmarkStart w:id="2928" w:name="__UnoMark__18502_1880123655"/>
      <w:bookmarkStart w:id="2929" w:name="__UnoMark__17391_1880123655"/>
      <w:bookmarkStart w:id="2930" w:name="__UnoMark__16344_1880123655"/>
      <w:bookmarkStart w:id="2931" w:name="__UnoMark__11001_283745954"/>
      <w:bookmarkStart w:id="2932" w:name="__UnoMark__10720_283745954"/>
      <w:bookmarkStart w:id="2933" w:name="__UnoMark__9624_283745954"/>
      <w:bookmarkStart w:id="2934" w:name="__UnoMark__8803_283745954"/>
      <w:bookmarkStart w:id="2935" w:name="__UnoMark__9450_435217427"/>
      <w:bookmarkStart w:id="2936" w:name="__UnoMark__25371_497913431"/>
      <w:bookmarkStart w:id="2937" w:name="__UnoMark__24510_497913431"/>
      <w:bookmarkStart w:id="2938" w:name="__UnoMark__23794_497913431"/>
      <w:bookmarkStart w:id="2939" w:name="__UnoMark__22331_497913431"/>
      <w:bookmarkStart w:id="2940" w:name="__UnoMark__7945_497913431"/>
      <w:bookmarkStart w:id="2941" w:name="__UnoMark__11420_1492540610"/>
      <w:bookmarkStart w:id="2942" w:name="__UnoMark__10800_1492540610"/>
      <w:bookmarkStart w:id="2943" w:name="__UnoMark__10166_1492540610"/>
      <w:bookmarkStart w:id="2944" w:name="__UnoMark__9567_1492540610"/>
      <w:bookmarkStart w:id="2945" w:name="__UnoMark__8971_1492540610"/>
      <w:bookmarkStart w:id="2946" w:name="__UnoMark__6121_1492540610"/>
      <w:bookmarkStart w:id="2947" w:name="__UnoMark__5536_1492540610"/>
      <w:bookmarkStart w:id="2948" w:name="__UnoMark__4225_599023520"/>
      <w:bookmarkStart w:id="2949" w:name="__UnoMark__12780_1244819659"/>
      <w:bookmarkStart w:id="2950" w:name="__UnoMark__3708_599023520"/>
      <w:bookmarkStart w:id="2951" w:name="__UnoMark__23090_497913431"/>
      <w:bookmarkStart w:id="2952" w:name="__UnoMark__27307_836371768"/>
      <w:bookmarkStart w:id="2953" w:name="__UnoMark__28452_836371768"/>
      <w:bookmarkStart w:id="2954" w:name="__UnoMark__29626_836371768"/>
      <w:bookmarkStart w:id="2955" w:name="__UnoMark__30787_836371768"/>
      <w:bookmarkStart w:id="2956" w:name="__UnoMark__40777_2025191570"/>
      <w:bookmarkStart w:id="2957" w:name="__UnoMark__41993_2025191570"/>
      <w:bookmarkStart w:id="2958" w:name="__UnoMark__43244_2025191570"/>
      <w:bookmarkStart w:id="2959" w:name="__UnoMark__44504_2025191570"/>
      <w:bookmarkStart w:id="2960" w:name="__UnoMark__3468_1689624541"/>
      <w:bookmarkEnd w:id="2960"/>
      <w:r>
        <w:rPr>
          <w:b w:val="false"/>
          <w:i w:val="false"/>
          <w:caps w:val="false"/>
          <w:smallCaps w:val="false"/>
          <w:position w:val="0"/>
          <w:sz w:val="22"/>
          <w:sz w:val="22"/>
          <w:u w:val="none"/>
          <w:vertAlign w:val="baseline"/>
        </w:rPr>
        <w:t>(Lerup, 1977, pp. 20–21)</w:t>
      </w:r>
      <w:bookmarkStart w:id="2961" w:name="__UnoMark__3586_1689624541"/>
      <w:bookmarkStart w:id="2962" w:name="__UnoMark__3598_1689624541"/>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1"/>
      <w:bookmarkEnd w:id="2962"/>
      <w:r>
        <w:rPr/>
        <w:t>.</w:t>
      </w:r>
    </w:p>
    <w:p>
      <w:pPr>
        <w:pStyle w:val="Normal"/>
        <w:rPr/>
      </w:pPr>
      <w:r>
        <w:rPr>
          <w:lang w:val="en-GB"/>
        </w:rPr>
        <w:t>For a pattern language to serve an interactionalist perspective, that data collection would be  done through participant observation.  A dweller is – or group of dwellers are – observed living in the built environment.  A pattern language that does not include dwellers within description is incomplete.</w:t>
      </w:r>
    </w:p>
    <w:p>
      <w:pPr>
        <w:pStyle w:val="Normal"/>
        <w:rPr/>
      </w:pPr>
      <w:r>
        <w:rPr>
          <w:i/>
          <w:iCs/>
          <w:lang w:val="en-GB"/>
        </w:rPr>
        <w:t>(iv) Spatio-temporal frames c.f. Alexandrian range of contexts</w:t>
      </w:r>
      <w:r>
        <w:rPr>
          <w:lang w:val="en-GB"/>
        </w:rPr>
        <w:t>:  The when and where of affording value(s) is socially negotiated between a client and a service provider, compared to the Alexandrian range of contexts based in physical space.</w:t>
      </w:r>
    </w:p>
    <w:p>
      <w:pPr>
        <w:pStyle w:val="Normal"/>
        <w:rPr/>
      </w:pPr>
      <w:r>
        <w:rPr>
          <w:lang w:val="en-GB"/>
        </w:rPr>
        <w:t>While the description of patterns has evolved over time, the originating description clearly specified the range of context ins physical space:</w:t>
      </w:r>
    </w:p>
    <w:p>
      <w:pPr>
        <w:pStyle w:val="Quote"/>
        <w:rPr/>
      </w:pPr>
      <w:r>
        <w:rPr>
          <w:lang w:val="en-GB"/>
        </w:rPr>
        <w:t xml:space="preserve">We begin with the following hypothesis:  Every time a designer creates a pattern (or, for that matter, entertains </w:t>
      </w:r>
      <w:r>
        <w:rPr>
          <w:u w:val="single"/>
          <w:lang w:val="en-GB"/>
        </w:rPr>
        <w:t>any</w:t>
      </w:r>
      <w:r>
        <w:rPr>
          <w:lang w:val="en-GB"/>
        </w:rPr>
        <w:t xml:space="preserve"> idea about the physical environment), he essentially goes through a three step process.  He considers a PROBLEM, invents a PATTERN to solve the problem, and makes a mental note of the range of CONTEXTS where the pattern will solve the problem.  For example, a designer considering the problem of traffic congestion and pedestrian access around central shopping districts might come up with the pattern, "Linear pedestrian malls bounded on both sides by rows of shops; parking lots strung along, behind the shops."  He would then make a mental note of the kinds of place where this pattern is useful:  "Commercial districts serving 300,000 people, where existing streets can be closed or paved, with car access evenly distributed behind the stores."  This three-step process may be characterized most simply as WHAT (mall between shops, parking behind), WHERE (commercial area serving 300,000), and WHY (ease traffic congestion, create pedestrian access) </w:t>
      </w:r>
      <w:bookmarkStart w:id="2963" w:name="__UnoMark__23563_140394355"/>
      <w:bookmarkStart w:id="2964" w:name="__UnoMark__17342_140394355"/>
      <w:bookmarkStart w:id="2965" w:name="__UnoMark__15956_140394355"/>
      <w:bookmarkStart w:id="2966" w:name="ZOTERO_BREF_UKQv5BgpXRoM"/>
      <w:bookmarkStart w:id="2967" w:name="__UnoMark__40778_2025191570"/>
      <w:bookmarkStart w:id="2968" w:name="__UnoMark__41994_2025191570"/>
      <w:bookmarkStart w:id="2969" w:name="__UnoMark__43245_2025191570"/>
      <w:bookmarkStart w:id="2970" w:name="__UnoMark__44505_2025191570"/>
      <w:bookmarkStart w:id="2971" w:name="__UnoMark__5795_1443136783"/>
      <w:bookmarkStart w:id="2972" w:name="__UnoMark__7441_41873585"/>
      <w:bookmarkStart w:id="2973" w:name="__UnoMark__6963_41873585"/>
      <w:bookmarkStart w:id="2974" w:name="__UnoMark__6365_41873585"/>
      <w:bookmarkStart w:id="2975" w:name="__UnoMark__5872_41873585"/>
      <w:bookmarkStart w:id="2976" w:name="__UnoMark__5359_41873585"/>
      <w:bookmarkStart w:id="2977" w:name="__UnoMark__4870_41873585"/>
      <w:bookmarkStart w:id="2978" w:name="__UnoMark__13214_722878254"/>
      <w:bookmarkStart w:id="2979" w:name="__UnoMark__12533_722878254"/>
      <w:bookmarkStart w:id="2980" w:name="__UnoMark__7162_1586897740"/>
      <w:bookmarkStart w:id="2981" w:name="__UnoMark__14968_1661744717"/>
      <w:bookmarkStart w:id="2982" w:name="__UnoMark__15842_1661744717"/>
      <w:bookmarkStart w:id="2983" w:name="__UnoMark__16716_1661744717"/>
      <w:bookmarkStart w:id="2984" w:name="__UnoMark__17607_1661744717"/>
      <w:bookmarkStart w:id="2985" w:name="__UnoMark__17927_1661744717"/>
      <w:bookmarkStart w:id="2986" w:name="__UnoMark__4226_599023520"/>
      <w:bookmarkStart w:id="2987" w:name="__UnoMark__3709_599023520"/>
      <w:bookmarkStart w:id="2988" w:name="__UnoMark__18503_1880123655"/>
      <w:bookmarkStart w:id="2989" w:name="__UnoMark__17392_1880123655"/>
      <w:bookmarkStart w:id="2990" w:name="__UnoMark__16345_1880123655"/>
      <w:bookmarkStart w:id="2991" w:name="__UnoMark__11002_283745954"/>
      <w:bookmarkStart w:id="2992" w:name="__UnoMark__10721_283745954"/>
      <w:bookmarkStart w:id="2993" w:name="__UnoMark__9625_283745954"/>
      <w:bookmarkStart w:id="2994" w:name="__UnoMark__8804_283745954"/>
      <w:bookmarkStart w:id="2995" w:name="__UnoMark__9451_435217427"/>
      <w:bookmarkStart w:id="2996" w:name="__UnoMark__25372_497913431"/>
      <w:bookmarkStart w:id="2997" w:name="__UnoMark__24511_497913431"/>
      <w:bookmarkStart w:id="2998" w:name="__UnoMark__11865_722878254"/>
      <w:bookmarkStart w:id="2999" w:name="__UnoMark__23091_497913431"/>
      <w:bookmarkStart w:id="3000" w:name="__UnoMark__22332_497913431"/>
      <w:bookmarkStart w:id="3001" w:name="__UnoMark__7946_497913431"/>
      <w:bookmarkStart w:id="3002" w:name="__UnoMark__11421_1492540610"/>
      <w:bookmarkStart w:id="3003" w:name="__UnoMark__10801_1492540610"/>
      <w:bookmarkStart w:id="3004" w:name="__UnoMark__10167_1492540610"/>
      <w:bookmarkStart w:id="3005" w:name="__UnoMark__9568_1492540610"/>
      <w:bookmarkStart w:id="3006" w:name="__UnoMark__8972_1492540610"/>
      <w:bookmarkStart w:id="3007" w:name="__UnoMark__6122_1492540610"/>
      <w:bookmarkStart w:id="3008" w:name="__UnoMark__5537_1492540610"/>
      <w:bookmarkStart w:id="3009" w:name="__UnoMark__23795_497913431"/>
      <w:bookmarkStart w:id="3010" w:name="__UnoMark__27308_836371768"/>
      <w:bookmarkStart w:id="3011" w:name="__UnoMark__28453_836371768"/>
      <w:bookmarkStart w:id="3012" w:name="__UnoMark__29627_836371768"/>
      <w:bookmarkStart w:id="3013" w:name="__UnoMark__30788_836371768"/>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r>
        <w:rPr>
          <w:b w:val="false"/>
          <w:i w:val="false"/>
          <w:caps w:val="false"/>
          <w:smallCaps w:val="false"/>
          <w:position w:val="0"/>
          <w:sz w:val="22"/>
          <w:sz w:val="22"/>
          <w:u w:val="none"/>
          <w:vertAlign w:val="baseline"/>
        </w:rPr>
        <w:t>(Alexander et al., 1967, pp. 2–3)</w:t>
      </w:r>
      <w:bookmarkEnd w:id="2963"/>
      <w:bookmarkEnd w:id="2964"/>
      <w:bookmarkEnd w:id="2965"/>
      <w:bookmarkEnd w:id="2966"/>
      <w:bookmarkEnd w:id="2967"/>
      <w:bookmarkEnd w:id="2968"/>
      <w:bookmarkEnd w:id="2969"/>
      <w:bookmarkEnd w:id="2970"/>
      <w:r>
        <w:rPr>
          <w:lang w:val="en-GB"/>
        </w:rPr>
        <w:t>.</w:t>
      </w:r>
    </w:p>
    <w:p>
      <w:pPr>
        <w:pStyle w:val="Normal"/>
        <w:rPr/>
      </w:pPr>
      <w:r>
        <w:rPr>
          <w:lang w:val="en-GB"/>
        </w:rPr>
        <w:t>As a service system that electronically provides an affordance for routing around traffic congestion, consider the when and where of (i) a dedicated GPS navigation device and (ii) a mapping app on a smartphone.  For the features of aided routing for either a driver or a pedestrian, the service provider must have already mapped that territory before the client encounters that place.  For the driver or pedestrian, a smartphone app normally requires an active wireless Internet service, while the GPS doesn’t.  A "solution" would normally suggest that the mapping be completely accurate and up-to-date, while service system providing an "affordance" would presumes that a person has eyesight and would not autonomically navigate himself or herself into a ditch.</w:t>
      </w:r>
    </w:p>
    <w:p>
      <w:pPr>
        <w:pStyle w:val="Normal"/>
        <w:rPr>
          <w:lang w:val="en-GB"/>
        </w:rPr>
      </w:pPr>
      <w:r>
        <w:rPr>
          <w:i/>
          <w:iCs/>
          <w:lang w:val="en-GB"/>
        </w:rPr>
        <w:t>(v) Containing systems versus Alexandrian completion of larger patterns</w:t>
      </w:r>
      <w:r>
        <w:rPr>
          <w:lang w:val="en-GB"/>
        </w:rPr>
        <w:t>:  Authentic systems thinking starts from containing whole.</w:t>
      </w:r>
    </w:p>
    <w:p>
      <w:pPr>
        <w:pStyle w:val="Quote"/>
        <w:spacing w:before="0" w:after="0"/>
        <w:rPr/>
      </w:pPr>
      <w:r>
        <w:rPr/>
        <w:t xml:space="preserve">In systems thinking, there are … three steps:  </w:t>
      </w:r>
    </w:p>
    <w:p>
      <w:pPr>
        <w:pStyle w:val="Quote"/>
        <w:bidi w:val="0"/>
        <w:spacing w:before="0" w:after="0"/>
        <w:ind w:left="1060" w:right="0" w:hanging="283"/>
        <w:jc w:val="left"/>
        <w:rPr/>
      </w:pPr>
      <w:r>
        <w:rPr/>
        <w:t>1. Identify a containing whole (system) of which the thing to be explained is a part.</w:t>
      </w:r>
    </w:p>
    <w:p>
      <w:pPr>
        <w:pStyle w:val="Quote"/>
        <w:bidi w:val="0"/>
        <w:spacing w:before="0" w:after="0"/>
        <w:ind w:left="1060" w:right="0" w:hanging="283"/>
        <w:jc w:val="left"/>
        <w:rPr/>
      </w:pPr>
      <w:r>
        <w:rPr/>
        <w:t>2. Explain the behavior or property of the containing whole.</w:t>
      </w:r>
    </w:p>
    <w:p>
      <w:pPr>
        <w:pStyle w:val="Quote"/>
        <w:bidi w:val="0"/>
        <w:spacing w:before="0" w:after="0"/>
        <w:ind w:left="1060" w:right="0" w:hanging="283"/>
        <w:jc w:val="left"/>
        <w:rPr/>
      </w:pPr>
      <w:r>
        <w:rPr/>
        <w:t xml:space="preserve">3. Then explain the behavior or properties of the thing to be explained in terms of its </w:t>
      </w:r>
      <w:r>
        <w:rPr>
          <w:b/>
          <w:bCs/>
        </w:rPr>
        <w:t>roles(s) or function(s)</w:t>
      </w:r>
      <w:r>
        <w:rPr/>
        <w:t xml:space="preserve"> within its containing whole.</w:t>
      </w:r>
    </w:p>
    <w:p>
      <w:pPr>
        <w:pStyle w:val="Quote"/>
        <w:rPr/>
      </w:pPr>
      <w:r>
        <w:rPr>
          <w:lang w:val="en-GB"/>
        </w:rPr>
        <w:t xml:space="preserve">Note that in this sequence, synthesis precedes analysis </w:t>
      </w:r>
      <w:bookmarkStart w:id="3014" w:name="__UnoMark__23564_140394355"/>
      <w:bookmarkStart w:id="3015" w:name="__UnoMark__17343_140394355"/>
      <w:bookmarkStart w:id="3016" w:name="__UnoMark__15957_140394355"/>
      <w:bookmarkStart w:id="3017" w:name="__UnoMark__11866_722878254"/>
      <w:bookmarkStart w:id="3018" w:name="__UnoMark__3710_599023520"/>
      <w:bookmarkStart w:id="3019" w:name="ZOTERO_BREF_3I95ztDmo4Xq"/>
      <w:bookmarkStart w:id="3020" w:name="__UnoMark__4871_41873585"/>
      <w:bookmarkStart w:id="3021" w:name="__UnoMark__5360_41873585"/>
      <w:bookmarkStart w:id="3022" w:name="__UnoMark__5873_41873585"/>
      <w:bookmarkStart w:id="3023" w:name="__UnoMark__6366_41873585"/>
      <w:bookmarkStart w:id="3024" w:name="__UnoMark__6964_41873585"/>
      <w:bookmarkStart w:id="3025" w:name="__UnoMark__7442_41873585"/>
      <w:bookmarkStart w:id="3026" w:name="__UnoMark__5796_1443136783"/>
      <w:bookmarkStart w:id="3027" w:name="__UnoMark__12534_722878254"/>
      <w:bookmarkStart w:id="3028" w:name="__UnoMark__13215_722878254"/>
      <w:bookmarkStart w:id="3029" w:name="__UnoMark__7163_1586897740"/>
      <w:bookmarkStart w:id="3030" w:name="__UnoMark__14969_1661744717"/>
      <w:bookmarkStart w:id="3031" w:name="__UnoMark__15843_1661744717"/>
      <w:bookmarkStart w:id="3032" w:name="__UnoMark__16717_1661744717"/>
      <w:bookmarkStart w:id="3033" w:name="__UnoMark__17608_1661744717"/>
      <w:bookmarkStart w:id="3034" w:name="__UnoMark__17928_1661744717"/>
      <w:bookmarkStart w:id="3035" w:name="__UnoMark__4227_599023520"/>
      <w:bookmarkStart w:id="3036" w:name="__UnoMark__5538_1492540610"/>
      <w:bookmarkStart w:id="3037" w:name="__UnoMark__18504_1880123655"/>
      <w:bookmarkStart w:id="3038" w:name="__UnoMark__17393_1880123655"/>
      <w:bookmarkStart w:id="3039" w:name="__UnoMark__16346_1880123655"/>
      <w:bookmarkStart w:id="3040" w:name="__UnoMark__11003_283745954"/>
      <w:bookmarkStart w:id="3041" w:name="__UnoMark__10722_283745954"/>
      <w:bookmarkStart w:id="3042" w:name="__UnoMark__9626_283745954"/>
      <w:bookmarkStart w:id="3043" w:name="__UnoMark__8805_283745954"/>
      <w:bookmarkStart w:id="3044" w:name="__UnoMark__9452_435217427"/>
      <w:bookmarkStart w:id="3045" w:name="__UnoMark__25373_497913431"/>
      <w:bookmarkStart w:id="3046" w:name="__UnoMark__24512_497913431"/>
      <w:bookmarkStart w:id="3047" w:name="__UnoMark__23796_497913431"/>
      <w:bookmarkStart w:id="3048" w:name="__UnoMark__23092_497913431"/>
      <w:bookmarkStart w:id="3049" w:name="__UnoMark__22333_497913431"/>
      <w:bookmarkStart w:id="3050" w:name="__UnoMark__7947_497913431"/>
      <w:bookmarkStart w:id="3051" w:name="__UnoMark__11422_1492540610"/>
      <w:bookmarkStart w:id="3052" w:name="__UnoMark__10802_1492540610"/>
      <w:bookmarkStart w:id="3053" w:name="__UnoMark__10168_1492540610"/>
      <w:bookmarkStart w:id="3054" w:name="__UnoMark__9569_1492540610"/>
      <w:bookmarkStart w:id="3055" w:name="__UnoMark__8973_1492540610"/>
      <w:bookmarkStart w:id="3056" w:name="__UnoMark__6123_1492540610"/>
      <w:bookmarkStart w:id="3057" w:name="__UnoMark__27309_836371768"/>
      <w:bookmarkStart w:id="3058" w:name="__UnoMark__28454_836371768"/>
      <w:bookmarkStart w:id="3059" w:name="__UnoMark__29628_836371768"/>
      <w:bookmarkStart w:id="3060" w:name="__UnoMark__30789_836371768"/>
      <w:bookmarkStart w:id="3061" w:name="__UnoMark__40779_2025191570"/>
      <w:bookmarkStart w:id="3062" w:name="__UnoMark__41995_2025191570"/>
      <w:bookmarkStart w:id="3063" w:name="__UnoMark__43246_2025191570"/>
      <w:bookmarkStart w:id="3064" w:name="__UnoMark__44506_2025191570"/>
      <w:r>
        <w:rPr>
          <w:b w:val="false"/>
          <w:i w:val="false"/>
          <w:caps w:val="false"/>
          <w:smallCaps w:val="false"/>
          <w:position w:val="0"/>
          <w:sz w:val="22"/>
          <w:sz w:val="22"/>
          <w:u w:val="none"/>
          <w:vertAlign w:val="baseline"/>
        </w:rPr>
        <w:t>(Ackoff, 1981, pp. 16–17)</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r>
        <w:rPr>
          <w:lang w:val="en-GB"/>
        </w:rPr>
        <w:t>.</w:t>
      </w:r>
    </w:p>
    <w:p>
      <w:pPr>
        <w:pStyle w:val="Normal"/>
        <w:rPr/>
      </w:pPr>
      <w:r>
        <w:rPr>
          <w:color w:val="00000A"/>
          <w:lang w:val="en-GB"/>
        </w:rPr>
        <w:t xml:space="preserve">This general definition of systems thinking applies to service systems.  A client of a service system is typically defined as being outside its systems boundaries, and therefore part of the containing whole.  In situations where the a client is not merely a consumer, but instead a coproducer, the definition of the system changes.  "Value co-produced by two or more actors, with and for each other, with and for yet other actors, invites us to rethink organizational structures and managerial arrangements for value creation inherited from the industrial era" </w:t>
      </w:r>
      <w:bookmarkStart w:id="3065" w:name="__UnoMark__23565_140394355"/>
      <w:bookmarkStart w:id="3066" w:name="__UnoMark__17344_140394355"/>
      <w:bookmarkStart w:id="3067" w:name="__UnoMark__15958_140394355"/>
      <w:bookmarkStart w:id="3068" w:name="__UnoMark__12535_722878254"/>
      <w:bookmarkStart w:id="3069" w:name="ZOTERO_BREF_D4EmHk2Fw73J"/>
      <w:bookmarkStart w:id="3070" w:name="__UnoMark__4872_41873585"/>
      <w:bookmarkStart w:id="3071" w:name="__UnoMark__5361_41873585"/>
      <w:bookmarkStart w:id="3072" w:name="__UnoMark__5874_41873585"/>
      <w:bookmarkStart w:id="3073" w:name="__UnoMark__6367_41873585"/>
      <w:bookmarkStart w:id="3074" w:name="__UnoMark__6965_41873585"/>
      <w:bookmarkStart w:id="3075" w:name="__UnoMark__7443_41873585"/>
      <w:bookmarkStart w:id="3076" w:name="__UnoMark__5797_1443136783"/>
      <w:bookmarkStart w:id="3077" w:name="__UnoMark__11867_722878254"/>
      <w:bookmarkStart w:id="3078" w:name="__UnoMark__13216_722878254"/>
      <w:bookmarkStart w:id="3079" w:name="__UnoMark__7164_1586897740"/>
      <w:bookmarkStart w:id="3080" w:name="__UnoMark__14970_1661744717"/>
      <w:bookmarkStart w:id="3081" w:name="__UnoMark__15844_1661744717"/>
      <w:bookmarkStart w:id="3082" w:name="__UnoMark__16718_1661744717"/>
      <w:bookmarkStart w:id="3083" w:name="__UnoMark__17609_1661744717"/>
      <w:bookmarkStart w:id="3084" w:name="__UnoMark__17929_1661744717"/>
      <w:bookmarkStart w:id="3085" w:name="__UnoMark__4228_599023520"/>
      <w:bookmarkStart w:id="3086" w:name="__UnoMark__3711_599023520"/>
      <w:bookmarkStart w:id="3087" w:name="__UnoMark__18505_1880123655"/>
      <w:bookmarkStart w:id="3088" w:name="__UnoMark__17394_1880123655"/>
      <w:bookmarkStart w:id="3089" w:name="__UnoMark__16347_1880123655"/>
      <w:bookmarkStart w:id="3090" w:name="__UnoMark__11004_283745954"/>
      <w:bookmarkStart w:id="3091" w:name="__UnoMark__10723_283745954"/>
      <w:bookmarkStart w:id="3092" w:name="__UnoMark__9627_283745954"/>
      <w:bookmarkStart w:id="3093" w:name="__UnoMark__8806_283745954"/>
      <w:bookmarkStart w:id="3094" w:name="__UnoMark__9453_435217427"/>
      <w:bookmarkStart w:id="3095" w:name="__UnoMark__25374_497913431"/>
      <w:bookmarkStart w:id="3096" w:name="__UnoMark__24513_497913431"/>
      <w:bookmarkStart w:id="3097" w:name="__UnoMark__5539_1492540610"/>
      <w:bookmarkStart w:id="3098" w:name="__UnoMark__6124_1492540610"/>
      <w:bookmarkStart w:id="3099" w:name="__UnoMark__8974_1492540610"/>
      <w:bookmarkStart w:id="3100" w:name="__UnoMark__9570_1492540610"/>
      <w:bookmarkStart w:id="3101" w:name="__UnoMark__10169_1492540610"/>
      <w:bookmarkStart w:id="3102" w:name="__UnoMark__10803_1492540610"/>
      <w:bookmarkStart w:id="3103" w:name="__UnoMark__11423_1492540610"/>
      <w:bookmarkStart w:id="3104" w:name="__UnoMark__7948_497913431"/>
      <w:bookmarkStart w:id="3105" w:name="__UnoMark__22334_497913431"/>
      <w:bookmarkStart w:id="3106" w:name="__UnoMark__23093_497913431"/>
      <w:bookmarkStart w:id="3107" w:name="__UnoMark__23797_497913431"/>
      <w:bookmarkStart w:id="3108" w:name="__UnoMark__27310_836371768"/>
      <w:bookmarkStart w:id="3109" w:name="__UnoMark__28455_836371768"/>
      <w:bookmarkStart w:id="3110" w:name="__UnoMark__29629_836371768"/>
      <w:bookmarkStart w:id="3111" w:name="__UnoMark__30790_836371768"/>
      <w:bookmarkStart w:id="3112" w:name="__UnoMark__40780_2025191570"/>
      <w:bookmarkStart w:id="3113" w:name="__UnoMark__41996_2025191570"/>
      <w:bookmarkStart w:id="3114" w:name="__UnoMark__43247_2025191570"/>
      <w:bookmarkStart w:id="3115" w:name="__UnoMark__44507_2025191570"/>
      <w:r>
        <w:rPr>
          <w:b w:val="false"/>
          <w:i w:val="false"/>
          <w:caps w:val="false"/>
          <w:smallCaps w:val="false"/>
          <w:color w:val="00000A"/>
          <w:position w:val="0"/>
          <w:sz w:val="22"/>
          <w:sz w:val="22"/>
          <w:u w:val="none"/>
          <w:vertAlign w:val="baseline"/>
          <w:lang w:val="en-GB"/>
        </w:rPr>
        <w:t>(Ram</w:t>
      </w:r>
      <w:r>
        <w:rPr>
          <w:b w:val="false"/>
          <w:i w:val="false"/>
          <w:caps w:val="false"/>
          <w:smallCaps w:val="false"/>
          <w:position w:val="0"/>
          <w:sz w:val="22"/>
          <w:sz w:val="22"/>
          <w:u w:val="none"/>
          <w:vertAlign w:val="baseline"/>
        </w:rPr>
        <w:t>írez, 1999, p. 49)</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r>
        <w:rPr>
          <w:color w:val="00000A"/>
          <w:lang w:val="en-GB"/>
        </w:rPr>
        <w:t>.</w:t>
      </w:r>
    </w:p>
    <w:p>
      <w:pPr>
        <w:pStyle w:val="Normal"/>
        <w:rPr/>
      </w:pPr>
      <w:r>
        <w:rPr>
          <w:color w:val="00000A"/>
          <w:lang w:val="en-GB"/>
        </w:rPr>
        <w:t xml:space="preserve">Alexander’s early writing also suggests systems thinking. "When the elements of a set belong together because they co-operate or work together somehow, we call the set of elements a system" </w:t>
      </w:r>
      <w:bookmarkStart w:id="3116" w:name="__UnoMark__23566_140394355"/>
      <w:bookmarkStart w:id="3117" w:name="__UnoMark__17345_140394355"/>
      <w:bookmarkStart w:id="3118" w:name="__UnoMark__15959_140394355"/>
      <w:bookmarkStart w:id="3119" w:name="__UnoMark__11868_722878254"/>
      <w:bookmarkStart w:id="3120" w:name="__UnoMark__3712_599023520"/>
      <w:bookmarkStart w:id="3121" w:name="__UnoMark__4825_41873585"/>
      <w:bookmarkStart w:id="3122" w:name="ZOTERO_BREF_n4MLXpODQUGa"/>
      <w:bookmarkStart w:id="3123" w:name="__UnoMark__5312_41873585"/>
      <w:bookmarkStart w:id="3124" w:name="__UnoMark__5875_41873585"/>
      <w:bookmarkStart w:id="3125" w:name="__UnoMark__6368_41873585"/>
      <w:bookmarkStart w:id="3126" w:name="__UnoMark__6966_41873585"/>
      <w:bookmarkStart w:id="3127" w:name="__UnoMark__7444_41873585"/>
      <w:bookmarkStart w:id="3128" w:name="__UnoMark__5798_1443136783"/>
      <w:bookmarkStart w:id="3129" w:name="__UnoMark__12536_722878254"/>
      <w:bookmarkStart w:id="3130" w:name="__UnoMark__13217_722878254"/>
      <w:bookmarkStart w:id="3131" w:name="__UnoMark__7165_1586897740"/>
      <w:bookmarkStart w:id="3132" w:name="__UnoMark__14971_1661744717"/>
      <w:bookmarkStart w:id="3133" w:name="__UnoMark__15845_1661744717"/>
      <w:bookmarkStart w:id="3134" w:name="__UnoMark__16719_1661744717"/>
      <w:bookmarkStart w:id="3135" w:name="__UnoMark__17610_1661744717"/>
      <w:bookmarkStart w:id="3136" w:name="__UnoMark__17930_1661744717"/>
      <w:bookmarkStart w:id="3137" w:name="__UnoMark__4229_599023520"/>
      <w:bookmarkStart w:id="3138" w:name="__UnoMark__5540_1492540610"/>
      <w:bookmarkStart w:id="3139" w:name="__UnoMark__18506_1880123655"/>
      <w:bookmarkStart w:id="3140" w:name="__UnoMark__17395_1880123655"/>
      <w:bookmarkStart w:id="3141" w:name="__UnoMark__16348_1880123655"/>
      <w:bookmarkStart w:id="3142" w:name="__UnoMark__11005_283745954"/>
      <w:bookmarkStart w:id="3143" w:name="__UnoMark__10724_283745954"/>
      <w:bookmarkStart w:id="3144" w:name="__UnoMark__9628_283745954"/>
      <w:bookmarkStart w:id="3145" w:name="__UnoMark__8807_283745954"/>
      <w:bookmarkStart w:id="3146" w:name="__UnoMark__9454_435217427"/>
      <w:bookmarkStart w:id="3147" w:name="__UnoMark__25375_497913431"/>
      <w:bookmarkStart w:id="3148" w:name="__UnoMark__24514_497913431"/>
      <w:bookmarkStart w:id="3149" w:name="__UnoMark__6125_1492540610"/>
      <w:bookmarkStart w:id="3150" w:name="__UnoMark__8975_1492540610"/>
      <w:bookmarkStart w:id="3151" w:name="__UnoMark__9571_1492540610"/>
      <w:bookmarkStart w:id="3152" w:name="__UnoMark__10170_1492540610"/>
      <w:bookmarkStart w:id="3153" w:name="__UnoMark__10804_1492540610"/>
      <w:bookmarkStart w:id="3154" w:name="__UnoMark__11424_1492540610"/>
      <w:bookmarkStart w:id="3155" w:name="__UnoMark__7949_497913431"/>
      <w:bookmarkStart w:id="3156" w:name="__UnoMark__22335_497913431"/>
      <w:bookmarkStart w:id="3157" w:name="__UnoMark__23094_497913431"/>
      <w:bookmarkStart w:id="3158" w:name="__UnoMark__23798_497913431"/>
      <w:bookmarkStart w:id="3159" w:name="__UnoMark__27311_836371768"/>
      <w:bookmarkStart w:id="3160" w:name="__UnoMark__28456_836371768"/>
      <w:bookmarkStart w:id="3161" w:name="__UnoMark__29630_836371768"/>
      <w:bookmarkStart w:id="3162" w:name="__UnoMark__30791_836371768"/>
      <w:bookmarkStart w:id="3163" w:name="__UnoMark__40781_2025191570"/>
      <w:bookmarkStart w:id="3164" w:name="__UnoMark__41997_2025191570"/>
      <w:bookmarkStart w:id="3165" w:name="__UnoMark__43248_2025191570"/>
      <w:bookmarkStart w:id="3166" w:name="__UnoMark__44508_2025191570"/>
      <w:r>
        <w:rPr>
          <w:color w:val="00000A"/>
          <w:lang w:val="en-GB"/>
        </w:rPr>
        <w:t>(Alexander, 1966, p. 48)</w:t>
      </w:r>
      <w:bookmarkStart w:id="3167" w:name="__UnoMark__4982_4187358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rPr>
          <w:color w:val="00000A"/>
          <w:lang w:val="en-GB"/>
        </w:rPr>
        <w:t xml:space="preserve">.  However, the problem is seen as designers  working primarily in physical space:  "Too many designers today seem to be yearning for the physical and plastic characteristics of the past, instead of searching for the abstract ordering principle which the towns of the past happened to have, and which our modern conceptions of the city have not yet found. These designers fail to put new life into the city, because they merely imitate the appearance of the old, its concrete substance: they fail to unearth its inner nature" </w:t>
      </w:r>
      <w:bookmarkStart w:id="3168" w:name="__UnoMark__23567_140394355"/>
      <w:bookmarkStart w:id="3169" w:name="__UnoMark__17346_140394355"/>
      <w:bookmarkStart w:id="3170" w:name="__UnoMark__15960_140394355"/>
      <w:bookmarkStart w:id="3171" w:name="__UnoMark__5541_1492540610"/>
      <w:bookmarkStart w:id="3172" w:name="__UnoMark__3713_599023520"/>
      <w:bookmarkStart w:id="3173" w:name="__UnoMark__5314_41873585"/>
      <w:bookmarkStart w:id="3174" w:name="ZOTERO_BREF_8vcUU8rnjXJ3"/>
      <w:bookmarkStart w:id="3175" w:name="__UnoMark__6369_41873585"/>
      <w:bookmarkStart w:id="3176" w:name="__UnoMark__6967_41873585"/>
      <w:bookmarkStart w:id="3177" w:name="__UnoMark__7445_41873585"/>
      <w:bookmarkStart w:id="3178" w:name="__UnoMark__5799_1443136783"/>
      <w:bookmarkStart w:id="3179" w:name="__UnoMark__11869_722878254"/>
      <w:bookmarkStart w:id="3180" w:name="__UnoMark__12537_722878254"/>
      <w:bookmarkStart w:id="3181" w:name="__UnoMark__13218_722878254"/>
      <w:bookmarkStart w:id="3182" w:name="__UnoMark__7166_1586897740"/>
      <w:bookmarkStart w:id="3183" w:name="__UnoMark__14972_1661744717"/>
      <w:bookmarkStart w:id="3184" w:name="__UnoMark__15846_1661744717"/>
      <w:bookmarkStart w:id="3185" w:name="__UnoMark__16720_1661744717"/>
      <w:bookmarkStart w:id="3186" w:name="__UnoMark__17611_1661744717"/>
      <w:bookmarkStart w:id="3187" w:name="__UnoMark__17931_1661744717"/>
      <w:bookmarkStart w:id="3188" w:name="__UnoMark__4230_599023520"/>
      <w:bookmarkStart w:id="3189" w:name="__UnoMark__18507_1880123655"/>
      <w:bookmarkStart w:id="3190" w:name="__UnoMark__17396_1880123655"/>
      <w:bookmarkStart w:id="3191" w:name="__UnoMark__16349_1880123655"/>
      <w:bookmarkStart w:id="3192" w:name="__UnoMark__11006_283745954"/>
      <w:bookmarkStart w:id="3193" w:name="__UnoMark__10725_283745954"/>
      <w:bookmarkStart w:id="3194" w:name="__UnoMark__9629_283745954"/>
      <w:bookmarkStart w:id="3195" w:name="__UnoMark__8808_283745954"/>
      <w:bookmarkStart w:id="3196" w:name="__UnoMark__9455_435217427"/>
      <w:bookmarkStart w:id="3197" w:name="__UnoMark__25376_497913431"/>
      <w:bookmarkStart w:id="3198" w:name="__UnoMark__24515_497913431"/>
      <w:bookmarkStart w:id="3199" w:name="__UnoMark__23799_497913431"/>
      <w:bookmarkStart w:id="3200" w:name="__UnoMark__23095_497913431"/>
      <w:bookmarkStart w:id="3201" w:name="__UnoMark__22336_497913431"/>
      <w:bookmarkStart w:id="3202" w:name="__UnoMark__7950_497913431"/>
      <w:bookmarkStart w:id="3203" w:name="__UnoMark__11425_1492540610"/>
      <w:bookmarkStart w:id="3204" w:name="__UnoMark__10805_1492540610"/>
      <w:bookmarkStart w:id="3205" w:name="__UnoMark__6126_1492540610"/>
      <w:bookmarkStart w:id="3206" w:name="__UnoMark__10171_1492540610"/>
      <w:bookmarkStart w:id="3207" w:name="__UnoMark__9572_1492540610"/>
      <w:bookmarkStart w:id="3208" w:name="__UnoMark__8976_1492540610"/>
      <w:bookmarkStart w:id="3209" w:name="__UnoMark__5876_41873585"/>
      <w:bookmarkStart w:id="3210" w:name="__UnoMark__27312_836371768"/>
      <w:bookmarkStart w:id="3211" w:name="__UnoMark__28457_836371768"/>
      <w:bookmarkStart w:id="3212" w:name="__UnoMark__29631_836371768"/>
      <w:bookmarkStart w:id="3213" w:name="__UnoMark__30792_836371768"/>
      <w:bookmarkStart w:id="3214" w:name="__UnoMark__40782_2025191570"/>
      <w:bookmarkStart w:id="3215" w:name="__UnoMark__41998_2025191570"/>
      <w:bookmarkStart w:id="3216" w:name="__UnoMark__43249_2025191570"/>
      <w:bookmarkStart w:id="3217" w:name="__UnoMark__44509_2025191570"/>
      <w:r>
        <w:rPr>
          <w:color w:val="00000A"/>
          <w:lang w:val="en-GB"/>
        </w:rPr>
        <w:t>(Alexander, 1966, p. 47)</w:t>
      </w:r>
      <w:bookmarkStart w:id="3218" w:name="__UnoMark__5473_41873585"/>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Pr>
          <w:color w:val="00000A"/>
          <w:lang w:val="en-GB"/>
        </w:rPr>
        <w:t>.  The  ordering principle works from larger scales to smaller scales.</w:t>
      </w:r>
    </w:p>
    <w:p>
      <w:pPr>
        <w:pStyle w:val="Normal"/>
        <w:rPr/>
      </w:pPr>
      <w:r>
        <w:rPr>
          <w:i/>
          <w:iCs/>
          <w:color w:val="00000A"/>
          <w:lang w:val="en-GB"/>
        </w:rPr>
        <w:t>(vi) Contained systems c.f. Alexandrian completions to smaller patterns</w:t>
      </w:r>
      <w:r>
        <w:rPr>
          <w:color w:val="00000A"/>
          <w:lang w:val="en-GB"/>
        </w:rPr>
        <w:t xml:space="preserve">:  From panarchy theory, smaller and faster systems can "revolt" to change the system of interest.  In service systems, this is typically demonstrated by a segment of clients voicing shared concerns resulting in a response by the provider, or exit from that relationship to other alternatives.  The Alexandrian view of a semi-lattice does reflect that structure, as connections of patterns, need are not tree-like.  "To have structure, you must have the right overlap, and this is for us almost certainly different from the old overlap which we observe in historic cities. As the relationships between functions change, so the systems which need to overlap in order to receive these, relationships must also change. The recreation of old kinds of overlap will be inappropriate, and chaotic instead of structured’ </w:t>
      </w:r>
      <w:bookmarkStart w:id="3219" w:name="__UnoMark__23568_140394355"/>
      <w:bookmarkStart w:id="3220" w:name="__UnoMark__17347_140394355"/>
      <w:bookmarkStart w:id="3221" w:name="__UnoMark__15961_140394355"/>
      <w:bookmarkStart w:id="3222" w:name="__UnoMark__12538_722878254"/>
      <w:bookmarkStart w:id="3223" w:name="__UnoMark__3714_599023520"/>
      <w:bookmarkStart w:id="3224" w:name="__UnoMark__5827_41873585"/>
      <w:bookmarkStart w:id="3225" w:name="ZOTERO_BREF_W8M2lcqfeAv6"/>
      <w:bookmarkStart w:id="3226" w:name="__UnoMark__6370_41873585"/>
      <w:bookmarkStart w:id="3227" w:name="__UnoMark__6968_41873585"/>
      <w:bookmarkStart w:id="3228" w:name="__UnoMark__7446_41873585"/>
      <w:bookmarkStart w:id="3229" w:name="__UnoMark__5800_1443136783"/>
      <w:bookmarkStart w:id="3230" w:name="__UnoMark__11870_722878254"/>
      <w:bookmarkStart w:id="3231" w:name="__UnoMark__13219_722878254"/>
      <w:bookmarkStart w:id="3232" w:name="__UnoMark__7167_1586897740"/>
      <w:bookmarkStart w:id="3233" w:name="__UnoMark__14973_1661744717"/>
      <w:bookmarkStart w:id="3234" w:name="__UnoMark__15847_1661744717"/>
      <w:bookmarkStart w:id="3235" w:name="__UnoMark__16721_1661744717"/>
      <w:bookmarkStart w:id="3236" w:name="__UnoMark__17612_1661744717"/>
      <w:bookmarkStart w:id="3237" w:name="__UnoMark__17932_1661744717"/>
      <w:bookmarkStart w:id="3238" w:name="__UnoMark__5542_1492540610"/>
      <w:bookmarkStart w:id="3239" w:name="__UnoMark__4231_599023520"/>
      <w:bookmarkStart w:id="3240" w:name="__UnoMark__18508_1880123655"/>
      <w:bookmarkStart w:id="3241" w:name="__UnoMark__17397_1880123655"/>
      <w:bookmarkStart w:id="3242" w:name="__UnoMark__16350_1880123655"/>
      <w:bookmarkStart w:id="3243" w:name="__UnoMark__11007_283745954"/>
      <w:bookmarkStart w:id="3244" w:name="__UnoMark__10726_283745954"/>
      <w:bookmarkStart w:id="3245" w:name="__UnoMark__9630_283745954"/>
      <w:bookmarkStart w:id="3246" w:name="__UnoMark__8809_283745954"/>
      <w:bookmarkStart w:id="3247" w:name="__UnoMark__9456_435217427"/>
      <w:bookmarkStart w:id="3248" w:name="__UnoMark__25377_497913431"/>
      <w:bookmarkStart w:id="3249" w:name="__UnoMark__23800_497913431"/>
      <w:bookmarkStart w:id="3250" w:name="__UnoMark__23096_497913431"/>
      <w:bookmarkStart w:id="3251" w:name="__UnoMark__22337_497913431"/>
      <w:bookmarkStart w:id="3252" w:name="__UnoMark__7951_497913431"/>
      <w:bookmarkStart w:id="3253" w:name="__UnoMark__11426_1492540610"/>
      <w:bookmarkStart w:id="3254" w:name="__UnoMark__10806_1492540610"/>
      <w:bookmarkStart w:id="3255" w:name="__UnoMark__10172_1492540610"/>
      <w:bookmarkStart w:id="3256" w:name="__UnoMark__9573_1492540610"/>
      <w:bookmarkStart w:id="3257" w:name="__UnoMark__8977_1492540610"/>
      <w:bookmarkStart w:id="3258" w:name="__UnoMark__6127_1492540610"/>
      <w:bookmarkStart w:id="3259" w:name="__UnoMark__24516_497913431"/>
      <w:bookmarkStart w:id="3260" w:name="__UnoMark__27313_836371768"/>
      <w:bookmarkStart w:id="3261" w:name="__UnoMark__28458_836371768"/>
      <w:bookmarkStart w:id="3262" w:name="__UnoMark__29632_836371768"/>
      <w:bookmarkStart w:id="3263" w:name="__UnoMark__30793_836371768"/>
      <w:bookmarkStart w:id="3264" w:name="__UnoMark__40783_2025191570"/>
      <w:bookmarkStart w:id="3265" w:name="__UnoMark__41999_2025191570"/>
      <w:bookmarkStart w:id="3266" w:name="__UnoMark__43250_2025191570"/>
      <w:bookmarkStart w:id="3267" w:name="__UnoMark__44510_2025191570"/>
      <w:r>
        <w:rPr>
          <w:color w:val="00000A"/>
          <w:lang w:val="en-GB"/>
        </w:rPr>
        <w:t>(Alexander, 1966, p. 55)</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r>
        <w:rPr>
          <w:color w:val="00000A"/>
          <w:lang w:val="en-GB"/>
        </w:rPr>
        <w:t>.  However, the orientation still has larger patterns containing smaller patterns, rather than larger systems that might be forced to transform as smaller systems "revolt".</w:t>
      </w:r>
    </w:p>
    <w:p>
      <w:pPr>
        <w:pStyle w:val="Normal"/>
        <w:rPr/>
      </w:pPr>
      <w:r>
        <w:rPr>
          <w:color w:val="00000A"/>
          <w:lang w:val="en-GB"/>
        </w:rPr>
        <w:t>The pattern language format described for service systems thinking, above, is still nascent.  What are the implications on how such a pattern language would be applied?  In the next section, the movement towards agile development in software development is compared to Alexandrian methods.</w:t>
      </w:r>
    </w:p>
    <w:p>
      <w:pPr>
        <w:pStyle w:val="Heading1"/>
        <w:numPr>
          <w:ilvl w:val="0"/>
          <w:numId w:val="2"/>
        </w:numPr>
        <w:ind w:left="0" w:hanging="0"/>
        <w:rPr/>
      </w:pPr>
      <w:r>
        <w:rPr>
          <w:lang w:val="en-GB"/>
        </w:rPr>
        <w:t>Methods associated with pattern language have clarified since 1973</w:t>
      </w:r>
    </w:p>
    <w:p>
      <w:pPr>
        <w:pStyle w:val="Normal"/>
        <w:rPr/>
      </w:pPr>
      <w:r>
        <w:rPr>
          <w:lang w:val="en-GB"/>
        </w:rPr>
        <w:t>In original master planning document for the University of Oregon circa 1973, Alexander took the challenge of problem solving in an organismic way:</w:t>
      </w:r>
    </w:p>
    <w:p>
      <w:pPr>
        <w:pStyle w:val="Quote"/>
        <w:rPr/>
      </w:pPr>
      <w:r>
        <w:rPr/>
        <w:t xml:space="preserve">In short, the original global form of the organism comes from the very same process of diagnosis and repair which keeps it stable once it matures.  We propose to solve the problem of global order in the university by means of a very similar process of diagnosis and repair.  […]  Once a set of patterns has been adopted by the university, it is therefore possible to loo at the environment and mark the places where the patterns have broken down </w:t>
      </w:r>
      <w:bookmarkStart w:id="3268" w:name="__UnoMark__23569_140394355"/>
      <w:bookmarkStart w:id="3269" w:name="__UnoMark__17348_140394355"/>
      <w:bookmarkStart w:id="3270" w:name="__UnoMark__15962_140394355"/>
      <w:bookmarkStart w:id="3271" w:name="__UnoMark__5801_1443136783"/>
      <w:bookmarkStart w:id="3272" w:name="__UnoMark__12781_1244819659"/>
      <w:bookmarkStart w:id="3273" w:name="__UnoMark__12351_1244819659"/>
      <w:bookmarkStart w:id="3274" w:name="ZOTERO_BREF_N49pG3D4Odpy"/>
      <w:bookmarkStart w:id="3275" w:name="__UnoMark__4873_41873585"/>
      <w:bookmarkStart w:id="3276" w:name="__UnoMark__5362_41873585"/>
      <w:bookmarkStart w:id="3277" w:name="__UnoMark__5877_41873585"/>
      <w:bookmarkStart w:id="3278" w:name="__UnoMark__6371_41873585"/>
      <w:bookmarkStart w:id="3279" w:name="__UnoMark__6969_41873585"/>
      <w:bookmarkStart w:id="3280" w:name="__UnoMark__7447_41873585"/>
      <w:bookmarkStart w:id="3281" w:name="__UnoMark__11871_722878254"/>
      <w:bookmarkStart w:id="3282" w:name="__UnoMark__12539_722878254"/>
      <w:bookmarkStart w:id="3283" w:name="__UnoMark__13220_722878254"/>
      <w:bookmarkStart w:id="3284" w:name="__UnoMark__7168_1586897740"/>
      <w:bookmarkStart w:id="3285" w:name="__UnoMark__14974_1661744717"/>
      <w:bookmarkStart w:id="3286" w:name="__UnoMark__15848_1661744717"/>
      <w:bookmarkStart w:id="3287" w:name="__UnoMark__16722_1661744717"/>
      <w:bookmarkStart w:id="3288" w:name="__UnoMark__17613_1661744717"/>
      <w:bookmarkStart w:id="3289" w:name="__UnoMark__17933_1661744717"/>
      <w:bookmarkStart w:id="3290" w:name="__UnoMark__3715_599023520"/>
      <w:bookmarkStart w:id="3291" w:name="__UnoMark__12924_1244819659"/>
      <w:bookmarkStart w:id="3292" w:name="__UnoMark__6128_1492540610"/>
      <w:bookmarkStart w:id="3293" w:name="__UnoMark__18509_1880123655"/>
      <w:bookmarkStart w:id="3294" w:name="__UnoMark__17398_1880123655"/>
      <w:bookmarkStart w:id="3295" w:name="__UnoMark__16351_1880123655"/>
      <w:bookmarkStart w:id="3296" w:name="__UnoMark__11008_283745954"/>
      <w:bookmarkStart w:id="3297" w:name="__UnoMark__10727_283745954"/>
      <w:bookmarkStart w:id="3298" w:name="__UnoMark__9631_283745954"/>
      <w:bookmarkStart w:id="3299" w:name="__UnoMark__8810_283745954"/>
      <w:bookmarkStart w:id="3300" w:name="__UnoMark__9457_435217427"/>
      <w:bookmarkStart w:id="3301" w:name="__UnoMark__25378_497913431"/>
      <w:bookmarkStart w:id="3302" w:name="__UnoMark__24517_497913431"/>
      <w:bookmarkStart w:id="3303" w:name="__UnoMark__4232_599023520"/>
      <w:bookmarkStart w:id="3304" w:name="__UnoMark__5543_1492540610"/>
      <w:bookmarkStart w:id="3305" w:name="__UnoMark__8978_1492540610"/>
      <w:bookmarkStart w:id="3306" w:name="__UnoMark__9574_1492540610"/>
      <w:bookmarkStart w:id="3307" w:name="__UnoMark__10173_1492540610"/>
      <w:bookmarkStart w:id="3308" w:name="__UnoMark__10807_1492540610"/>
      <w:bookmarkStart w:id="3309" w:name="__UnoMark__11427_1492540610"/>
      <w:bookmarkStart w:id="3310" w:name="__UnoMark__7952_497913431"/>
      <w:bookmarkStart w:id="3311" w:name="__UnoMark__22338_497913431"/>
      <w:bookmarkStart w:id="3312" w:name="__UnoMark__23097_497913431"/>
      <w:bookmarkStart w:id="3313" w:name="__UnoMark__23801_497913431"/>
      <w:bookmarkStart w:id="3314" w:name="__UnoMark__27314_836371768"/>
      <w:bookmarkStart w:id="3315" w:name="__UnoMark__28459_836371768"/>
      <w:bookmarkStart w:id="3316" w:name="__UnoMark__29633_836371768"/>
      <w:bookmarkStart w:id="3317" w:name="__UnoMark__30794_836371768"/>
      <w:bookmarkStart w:id="3318" w:name="__UnoMark__40784_2025191570"/>
      <w:bookmarkStart w:id="3319" w:name="__UnoMark__42000_2025191570"/>
      <w:bookmarkStart w:id="3320" w:name="__UnoMark__43251_2025191570"/>
      <w:bookmarkStart w:id="3321" w:name="__UnoMark__44511_2025191570"/>
      <w:bookmarkStart w:id="3322" w:name="__UnoMark__4383_348219782"/>
      <w:bookmarkEnd w:id="3322"/>
      <w:r>
        <w:rPr/>
        <w:t>(Alexander, Silverstein, Angel, Ishikawa, &amp; Abrams, 1975, pp. 150–151)</w:t>
      </w:r>
      <w:bookmarkStart w:id="3323" w:name="__UnoMark__4531_348219782"/>
      <w:bookmarkStart w:id="3324" w:name="__UnoMark__4519_348219782"/>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3"/>
      <w:bookmarkEnd w:id="3324"/>
      <w:r>
        <w:rPr/>
        <w:t>.</w:t>
      </w:r>
    </w:p>
    <w:p>
      <w:pPr>
        <w:pStyle w:val="Normal"/>
        <w:rPr/>
      </w:pPr>
      <w:r>
        <w:rPr>
          <w:lang w:val="en-GB"/>
        </w:rPr>
        <w:t>The trajectory of this thinking can be traced explicitly into the Eishin campus project circa 1983-1985.  It also influenced methods which have become known as agile development.</w:t>
      </w:r>
    </w:p>
    <w:p>
      <w:pPr>
        <w:pStyle w:val="Heading2"/>
        <w:numPr>
          <w:ilvl w:val="1"/>
          <w:numId w:val="2"/>
        </w:numPr>
        <w:rPr/>
      </w:pPr>
      <w:r>
        <w:rPr>
          <w:lang w:val="en-GB"/>
        </w:rPr>
        <w:t>Alexandrian methods include pattern language, budget and reality of the land</w:t>
      </w:r>
    </w:p>
    <w:p>
      <w:pPr>
        <w:pStyle w:val="Normal"/>
        <w:rPr/>
      </w:pPr>
      <w:r>
        <w:rPr/>
        <w:t>The formal description of the Eishin campus project was not published until almost 30 years after its first drafts.</w:t>
      </w:r>
    </w:p>
    <w:p>
      <w:pPr>
        <w:pStyle w:val="Quote"/>
        <w:rPr/>
      </w:pPr>
      <w:r>
        <w:rPr/>
        <w:t xml:space="preserve">Between 1968 and 1981, my CES colleagues and I had already worked out most of the techniques ….  The foundations of these unifying techniques were ultimately set forth in the four volumes of </w:t>
      </w:r>
      <w:r>
        <w:rPr>
          <w:b/>
          <w:bCs/>
        </w:rPr>
        <w:t>The Nature of Order,</w:t>
      </w:r>
      <w:r>
        <w:rPr/>
        <w:t xml:space="preserve"> published 2001-2005.  However, the four books were already circulating, in draft form for fifteen years before the actual start of the Eishin project.  Furthermore, the entire effort of our layout, planning, building design, construction, overall conduct of the project, and day-to-day practical administration – all of this was governed by the teachings described at length in the 2000 pages of </w:t>
      </w:r>
      <w:r>
        <w:rPr>
          <w:b/>
          <w:bCs/>
        </w:rPr>
        <w:t>The Nature of Order</w:t>
      </w:r>
      <w:r>
        <w:rPr/>
        <w:t xml:space="preserve">  </w:t>
      </w:r>
      <w:bookmarkStart w:id="3325" w:name="__UnoMark__23570_140394355"/>
      <w:bookmarkStart w:id="3326" w:name="__UnoMark__17349_140394355"/>
      <w:bookmarkStart w:id="3327" w:name="__UnoMark__15963_140394355"/>
      <w:bookmarkStart w:id="3328" w:name="__UnoMark__5802_1443136783"/>
      <w:bookmarkStart w:id="3329" w:name="__UnoMark__7448_41873585"/>
      <w:bookmarkStart w:id="3330" w:name="__UnoMark__6970_41873585"/>
      <w:bookmarkStart w:id="3331" w:name="ZOTERO_BREF_kQV1eL3ffDk5"/>
      <w:bookmarkStart w:id="3332" w:name="__UnoMark__3716_599023520"/>
      <w:bookmarkStart w:id="3333" w:name="__UnoMark__4233_599023520"/>
      <w:bookmarkStart w:id="3334" w:name="__UnoMark__5544_1492540610"/>
      <w:bookmarkStart w:id="3335" w:name="__UnoMark__12540_722878254"/>
      <w:bookmarkStart w:id="3336" w:name="__UnoMark__11872_722878254"/>
      <w:bookmarkStart w:id="3337" w:name="__UnoMark__13221_722878254"/>
      <w:bookmarkStart w:id="3338" w:name="__UnoMark__7169_1586897740"/>
      <w:bookmarkStart w:id="3339" w:name="__UnoMark__14975_1661744717"/>
      <w:bookmarkStart w:id="3340" w:name="__UnoMark__15849_1661744717"/>
      <w:bookmarkStart w:id="3341" w:name="__UnoMark__16723_1661744717"/>
      <w:bookmarkStart w:id="3342" w:name="__UnoMark__17614_1661744717"/>
      <w:bookmarkStart w:id="3343" w:name="__UnoMark__17934_1661744717"/>
      <w:bookmarkStart w:id="3344" w:name="__UnoMark__6129_1492540610"/>
      <w:bookmarkStart w:id="3345" w:name="__UnoMark__8979_1492540610"/>
      <w:bookmarkStart w:id="3346" w:name="__UnoMark__18510_1880123655"/>
      <w:bookmarkStart w:id="3347" w:name="__UnoMark__17399_1880123655"/>
      <w:bookmarkStart w:id="3348" w:name="__UnoMark__16352_1880123655"/>
      <w:bookmarkStart w:id="3349" w:name="__UnoMark__11009_283745954"/>
      <w:bookmarkStart w:id="3350" w:name="__UnoMark__10728_283745954"/>
      <w:bookmarkStart w:id="3351" w:name="__UnoMark__9632_283745954"/>
      <w:bookmarkStart w:id="3352" w:name="__UnoMark__8811_283745954"/>
      <w:bookmarkStart w:id="3353" w:name="__UnoMark__9458_435217427"/>
      <w:bookmarkStart w:id="3354" w:name="__UnoMark__25379_497913431"/>
      <w:bookmarkStart w:id="3355" w:name="__UnoMark__24518_497913431"/>
      <w:bookmarkStart w:id="3356" w:name="__UnoMark__23802_497913431"/>
      <w:bookmarkStart w:id="3357" w:name="__UnoMark__23098_497913431"/>
      <w:bookmarkStart w:id="3358" w:name="__UnoMark__22339_497913431"/>
      <w:bookmarkStart w:id="3359" w:name="__UnoMark__7953_497913431"/>
      <w:bookmarkStart w:id="3360" w:name="__UnoMark__11428_1492540610"/>
      <w:bookmarkStart w:id="3361" w:name="__UnoMark__10808_1492540610"/>
      <w:bookmarkStart w:id="3362" w:name="__UnoMark__10174_1492540610"/>
      <w:bookmarkStart w:id="3363" w:name="__UnoMark__9575_1492540610"/>
      <w:bookmarkStart w:id="3364" w:name="__UnoMark__27315_836371768"/>
      <w:bookmarkStart w:id="3365" w:name="__UnoMark__28460_836371768"/>
      <w:bookmarkStart w:id="3366" w:name="__UnoMark__29634_836371768"/>
      <w:bookmarkStart w:id="3367" w:name="__UnoMark__30795_836371768"/>
      <w:bookmarkStart w:id="3368" w:name="__UnoMark__40785_2025191570"/>
      <w:bookmarkStart w:id="3369" w:name="__UnoMark__42001_2025191570"/>
      <w:bookmarkStart w:id="3370" w:name="__UnoMark__43252_2025191570"/>
      <w:bookmarkStart w:id="3371" w:name="__UnoMark__44512_2025191570"/>
      <w:bookmarkStart w:id="3372" w:name="__UnoMark__6320_41873585"/>
      <w:bookmarkEnd w:id="3372"/>
      <w:r>
        <w:rPr>
          <w:b w:val="false"/>
          <w:i w:val="false"/>
          <w:caps w:val="false"/>
          <w:smallCaps w:val="false"/>
          <w:position w:val="0"/>
          <w:sz w:val="22"/>
          <w:sz w:val="22"/>
          <w:u w:val="none"/>
          <w:vertAlign w:val="baseline"/>
        </w:rPr>
        <w:t>(Alexander, 2012, pp. 16–17)</w:t>
      </w:r>
      <w:bookmarkStart w:id="3373" w:name="__UnoMark__6483_41873585"/>
      <w:bookmarkStart w:id="3374" w:name="__UnoMark__6495_41873585"/>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3"/>
      <w:bookmarkEnd w:id="3374"/>
      <w:r>
        <w:rPr/>
        <w:t>.</w:t>
      </w:r>
    </w:p>
    <w:p>
      <w:pPr>
        <w:pStyle w:val="Normal"/>
        <w:rPr/>
      </w:pPr>
      <w:r>
        <w:rPr/>
        <w:t>This project is illuminating as an experience report from initial conception of a campus, through to its inhabitation as a living built environment today.  It is unique an in-depth reflection of the putting pattern languages and generative sequences together in practice.  An outline of the steps described in bringing the Eishin campus to reality is listed in Table 4.</w:t>
      </w:r>
    </w:p>
    <w:p>
      <w:pPr>
        <w:pStyle w:val="Caption1"/>
        <w:rPr/>
      </w:pPr>
      <w:r>
        <w:rPr/>
        <w:t xml:space="preserve">Table </w:t>
      </w:r>
      <w:r>
        <w:rPr/>
        <w:fldChar w:fldCharType="begin"/>
      </w:r>
      <w:r>
        <w:instrText> SEQ Table \* ARABIC </w:instrText>
      </w:r>
      <w:r>
        <w:fldChar w:fldCharType="separate"/>
      </w:r>
      <w:r>
        <w:t>4</w:t>
      </w:r>
      <w:r>
        <w:fldChar w:fldCharType="end"/>
      </w:r>
      <w:r>
        <w:rPr/>
        <w:t xml:space="preserve">: Alexandrian methods at the Eishin campus </w:t>
      </w:r>
      <w:bookmarkStart w:id="3375" w:name="__UnoMark__23571_140394355"/>
      <w:bookmarkStart w:id="3376" w:name="__UnoMark__17350_140394355"/>
      <w:bookmarkStart w:id="3377" w:name="__UnoMark__15964_140394355"/>
      <w:bookmarkStart w:id="3378" w:name="__UnoMark__6971_41873585"/>
      <w:bookmarkStart w:id="3379" w:name="__UnoMark__6372_41873585"/>
      <w:bookmarkStart w:id="3380" w:name="__UnoMark__5878_41873585"/>
      <w:bookmarkStart w:id="3381" w:name="__UnoMark__5363_41873585"/>
      <w:bookmarkStart w:id="3382" w:name="__UnoMark__4874_41873585"/>
      <w:bookmarkStart w:id="3383" w:name="ZOTERO_BREF_iMehN0N9rGAw"/>
      <w:bookmarkStart w:id="3384" w:name="__UnoMark__3992_348219782"/>
      <w:bookmarkStart w:id="3385" w:name="__UnoMark__4426_348219782"/>
      <w:bookmarkStart w:id="3386" w:name="__UnoMark__12352_1244819659"/>
      <w:bookmarkStart w:id="3387" w:name="__UnoMark__12925_1244819659"/>
      <w:bookmarkStart w:id="3388" w:name="__UnoMark__5803_1443136783"/>
      <w:bookmarkStart w:id="3389" w:name="__UnoMark__7449_41873585"/>
      <w:bookmarkStart w:id="3390" w:name="__UnoMark__11873_722878254"/>
      <w:bookmarkStart w:id="3391" w:name="__UnoMark__12541_722878254"/>
      <w:bookmarkStart w:id="3392" w:name="__UnoMark__13222_722878254"/>
      <w:bookmarkStart w:id="3393" w:name="__UnoMark__7170_1586897740"/>
      <w:bookmarkStart w:id="3394" w:name="__UnoMark__14976_1661744717"/>
      <w:bookmarkStart w:id="3395" w:name="__UnoMark__15850_1661744717"/>
      <w:bookmarkStart w:id="3396" w:name="__UnoMark__16724_1661744717"/>
      <w:bookmarkStart w:id="3397" w:name="__UnoMark__17615_1661744717"/>
      <w:bookmarkStart w:id="3398" w:name="__UnoMark__17935_1661744717"/>
      <w:bookmarkStart w:id="3399" w:name="__UnoMark__12782_1244819659"/>
      <w:bookmarkStart w:id="3400" w:name="__UnoMark__18511_1880123655"/>
      <w:bookmarkStart w:id="3401" w:name="__UnoMark__17400_1880123655"/>
      <w:bookmarkStart w:id="3402" w:name="__UnoMark__16353_1880123655"/>
      <w:bookmarkStart w:id="3403" w:name="__UnoMark__11010_283745954"/>
      <w:bookmarkStart w:id="3404" w:name="__UnoMark__10729_283745954"/>
      <w:bookmarkStart w:id="3405" w:name="__UnoMark__9633_283745954"/>
      <w:bookmarkStart w:id="3406" w:name="__UnoMark__8812_283745954"/>
      <w:bookmarkStart w:id="3407" w:name="__UnoMark__9459_435217427"/>
      <w:bookmarkStart w:id="3408" w:name="__UnoMark__25380_497913431"/>
      <w:bookmarkStart w:id="3409" w:name="__UnoMark__24519_497913431"/>
      <w:bookmarkStart w:id="3410" w:name="__UnoMark__23803_497913431"/>
      <w:bookmarkStart w:id="3411" w:name="__UnoMark__23099_497913431"/>
      <w:bookmarkStart w:id="3412" w:name="__UnoMark__3717_599023520"/>
      <w:bookmarkStart w:id="3413" w:name="__UnoMark__4234_599023520"/>
      <w:bookmarkStart w:id="3414" w:name="__UnoMark__5545_1492540610"/>
      <w:bookmarkStart w:id="3415" w:name="__UnoMark__6130_1492540610"/>
      <w:bookmarkStart w:id="3416" w:name="__UnoMark__8980_1492540610"/>
      <w:bookmarkStart w:id="3417" w:name="__UnoMark__9576_1492540610"/>
      <w:bookmarkStart w:id="3418" w:name="__UnoMark__10175_1492540610"/>
      <w:bookmarkStart w:id="3419" w:name="__UnoMark__10809_1492540610"/>
      <w:bookmarkStart w:id="3420" w:name="__UnoMark__11429_1492540610"/>
      <w:bookmarkStart w:id="3421" w:name="__UnoMark__7954_497913431"/>
      <w:bookmarkStart w:id="3422" w:name="__UnoMark__22340_497913431"/>
      <w:bookmarkStart w:id="3423" w:name="__UnoMark__27316_836371768"/>
      <w:bookmarkStart w:id="3424" w:name="__UnoMark__28461_836371768"/>
      <w:bookmarkStart w:id="3425" w:name="__UnoMark__29635_836371768"/>
      <w:bookmarkStart w:id="3426" w:name="__UnoMark__30796_836371768"/>
      <w:bookmarkStart w:id="3427" w:name="__UnoMark__40786_2025191570"/>
      <w:bookmarkStart w:id="3428" w:name="__UnoMark__42002_2025191570"/>
      <w:bookmarkStart w:id="3429" w:name="__UnoMark__43253_2025191570"/>
      <w:bookmarkStart w:id="3430" w:name="__UnoMark__44513_2025191570"/>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Pr>
          <w:b w:val="false"/>
          <w:i w:val="false"/>
          <w:caps w:val="false"/>
          <w:smallCaps w:val="false"/>
          <w:position w:val="0"/>
          <w:sz w:val="22"/>
          <w:sz w:val="22"/>
          <w:u w:val="none"/>
          <w:vertAlign w:val="baseline"/>
        </w:rPr>
        <w:t>(Alexander, 2012, Chapters 8–11)</w:t>
      </w:r>
    </w:p>
    <w:tbl>
      <w:tblPr>
        <w:tblW w:w="9065" w:type="dxa"/>
        <w:jc w:val="left"/>
        <w:tblInd w:w="-2" w:type="dxa"/>
        <w:tblBorders>
          <w:top w:val="single" w:sz="2" w:space="0" w:color="B3B3B3"/>
          <w:left w:val="single" w:sz="2" w:space="0" w:color="B3B3B3"/>
          <w:bottom w:val="single" w:sz="2" w:space="0" w:color="B3B3B3"/>
          <w:right w:val="single" w:sz="2" w:space="0" w:color="B3B3B3"/>
          <w:insideH w:val="single" w:sz="2" w:space="0" w:color="B3B3B3"/>
          <w:insideV w:val="single" w:sz="2" w:space="0" w:color="B3B3B3"/>
        </w:tblBorders>
        <w:tblCellMar>
          <w:top w:w="0" w:type="dxa"/>
          <w:left w:w="-2" w:type="dxa"/>
          <w:bottom w:w="0" w:type="dxa"/>
          <w:right w:w="0" w:type="dxa"/>
        </w:tblCellMar>
      </w:tblPr>
      <w:tblGrid>
        <w:gridCol w:w="1648"/>
        <w:gridCol w:w="7416"/>
      </w:tblGrid>
      <w:tr>
        <w:trPr>
          <w:cantSplit w:val="true"/>
        </w:trPr>
        <w:tc>
          <w:tcPr>
            <w:tcW w:w="9064" w:type="dxa"/>
            <w:gridSpan w:val="2"/>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t>Alexandrian method for built environments</w:t>
            </w:r>
          </w:p>
        </w:tc>
      </w:tr>
      <w:tr>
        <w:trPr>
          <w:cantSplit w:val="true"/>
        </w:trPr>
        <w:tc>
          <w:tcPr>
            <w:tcW w:w="164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(i) Pattern language for the community</w:t>
            </w:r>
          </w:p>
        </w:tc>
        <w:tc>
          <w:tcPr>
            <w:tcW w:w="7416"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numPr>
                <w:ilvl w:val="0"/>
                <w:numId w:val="4"/>
              </w:numPr>
              <w:jc w:val="left"/>
              <w:rPr/>
            </w:pPr>
            <w:r>
              <w:rPr/>
              <w:t>Interviewing on hopes and dreams</w:t>
            </w:r>
          </w:p>
          <w:p>
            <w:pPr>
              <w:pStyle w:val="TableContents"/>
              <w:numPr>
                <w:ilvl w:val="0"/>
                <w:numId w:val="4"/>
              </w:numPr>
              <w:jc w:val="left"/>
              <w:rPr/>
            </w:pPr>
            <w:r>
              <w:rPr/>
              <w:t>Making a first sketch of a patttern languages</w:t>
            </w:r>
          </w:p>
          <w:p>
            <w:pPr>
              <w:pStyle w:val="TableContents"/>
              <w:numPr>
                <w:ilvl w:val="0"/>
                <w:numId w:val="4"/>
              </w:numPr>
              <w:jc w:val="left"/>
              <w:rPr/>
            </w:pPr>
            <w:r>
              <w:rPr/>
              <w:t>Making a first draft pattern language from teachers‘ comments</w:t>
            </w:r>
          </w:p>
          <w:p>
            <w:pPr>
              <w:pStyle w:val="TableContents"/>
              <w:numPr>
                <w:ilvl w:val="0"/>
                <w:numId w:val="4"/>
              </w:numPr>
              <w:jc w:val="left"/>
              <w:rPr/>
            </w:pPr>
            <w:r>
              <w:rPr/>
              <w:t>Checking seven principles for completeness of the languages</w:t>
            </w:r>
          </w:p>
          <w:p>
            <w:pPr>
              <w:pStyle w:val="TableContents"/>
              <w:numPr>
                <w:ilvl w:val="0"/>
                <w:numId w:val="4"/>
              </w:numPr>
              <w:jc w:val="left"/>
              <w:rPr/>
            </w:pPr>
            <w:r>
              <w:rPr/>
              <w:t>Refining the language</w:t>
            </w:r>
          </w:p>
          <w:p>
            <w:pPr>
              <w:pStyle w:val="TableContents"/>
              <w:numPr>
                <w:ilvl w:val="0"/>
                <w:numId w:val="4"/>
              </w:numPr>
              <w:jc w:val="left"/>
              <w:rPr/>
            </w:pPr>
            <w:r>
              <w:rPr/>
              <w:t>Creating pattern language as a list of key centers</w:t>
            </w:r>
          </w:p>
        </w:tc>
      </w:tr>
      <w:tr>
        <w:trPr>
          <w:cantSplit w:val="true"/>
        </w:trPr>
        <w:tc>
          <w:tcPr>
            <w:tcW w:w="164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(ii) Construction budget</w:t>
            </w:r>
          </w:p>
        </w:tc>
        <w:tc>
          <w:tcPr>
            <w:tcW w:w="7416"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numPr>
                <w:ilvl w:val="0"/>
                <w:numId w:val="5"/>
              </w:numPr>
              <w:jc w:val="left"/>
              <w:rPr/>
            </w:pPr>
            <w:r>
              <w:rPr/>
              <w:t>Making a record of all of the spaces and areas which were defined by the pattern languages</w:t>
            </w:r>
          </w:p>
          <w:p>
            <w:pPr>
              <w:pStyle w:val="TableContents"/>
              <w:numPr>
                <w:ilvl w:val="0"/>
                <w:numId w:val="5"/>
              </w:numPr>
              <w:jc w:val="left"/>
              <w:rPr/>
            </w:pPr>
            <w:r>
              <w:rPr/>
              <w:t>Trimming all space to available budget, as an average percentage reduction for all items of interior space, and then exterior space</w:t>
            </w:r>
          </w:p>
          <w:p>
            <w:pPr>
              <w:pStyle w:val="TableContents"/>
              <w:numPr>
                <w:ilvl w:val="0"/>
                <w:numId w:val="5"/>
              </w:numPr>
              <w:jc w:val="left"/>
              <w:rPr/>
            </w:pPr>
            <w:r>
              <w:rPr/>
              <w:t>Asking faculty to re-allocate the spaces, keeping the same trimmed totals, conforming with the available resources</w:t>
            </w:r>
          </w:p>
        </w:tc>
      </w:tr>
      <w:tr>
        <w:trPr>
          <w:cantSplit w:val="true"/>
        </w:trPr>
        <w:tc>
          <w:tcPr>
            <w:tcW w:w="164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(iii) Reality of the land</w:t>
            </w:r>
          </w:p>
        </w:tc>
        <w:tc>
          <w:tcPr>
            <w:tcW w:w="7416"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numPr>
                <w:ilvl w:val="0"/>
                <w:numId w:val="6"/>
              </w:numPr>
              <w:jc w:val="left"/>
              <w:rPr/>
            </w:pPr>
            <w:r>
              <w:rPr>
                <w:b w:val="false"/>
                <w:bCs w:val="false"/>
              </w:rPr>
              <w:t>Laying out the site plan on the ground</w:t>
            </w:r>
          </w:p>
          <w:p>
            <w:pPr>
              <w:pStyle w:val="TableContents"/>
              <w:numPr>
                <w:ilvl w:val="0"/>
                <w:numId w:val="6"/>
              </w:numPr>
              <w:jc w:val="left"/>
              <w:rPr/>
            </w:pPr>
            <w:r>
              <w:rPr>
                <w:b w:val="false"/>
                <w:bCs w:val="false"/>
              </w:rPr>
              <w:t>Finding the two fundamental systems of centers, and combine them</w:t>
            </w:r>
          </w:p>
          <w:p>
            <w:pPr>
              <w:pStyle w:val="TableContents"/>
              <w:numPr>
                <w:ilvl w:val="0"/>
                <w:numId w:val="6"/>
              </w:numPr>
              <w:jc w:val="left"/>
              <w:rPr/>
            </w:pPr>
            <w:r>
              <w:rPr>
                <w:b w:val="false"/>
                <w:bCs w:val="false"/>
              </w:rPr>
              <w:t>Visualizing the evolving site plan with marks on the land (e.g. flags)</w:t>
            </w:r>
          </w:p>
          <w:p>
            <w:pPr>
              <w:pStyle w:val="TableContents"/>
              <w:numPr>
                <w:ilvl w:val="0"/>
                <w:numId w:val="6"/>
              </w:numPr>
              <w:jc w:val="left"/>
              <w:rPr/>
            </w:pPr>
            <w:r>
              <w:rPr>
                <w:b w:val="false"/>
                <w:bCs w:val="false"/>
              </w:rPr>
              <w:t>Fixing first hardline drawings of detailed positions on the site (position, orientation, dimension)</w:t>
            </w:r>
          </w:p>
          <w:p>
            <w:pPr>
              <w:pStyle w:val="TableContents"/>
              <w:numPr>
                <w:ilvl w:val="0"/>
                <w:numId w:val="6"/>
              </w:numPr>
              <w:jc w:val="left"/>
              <w:rPr/>
            </w:pPr>
            <w:r>
              <w:rPr>
                <w:b w:val="false"/>
                <w:bCs w:val="false"/>
              </w:rPr>
              <w:t>Judging detailed building positions on the land (with flags)</w:t>
            </w:r>
          </w:p>
          <w:p>
            <w:pPr>
              <w:pStyle w:val="TableContents"/>
              <w:numPr>
                <w:ilvl w:val="0"/>
                <w:numId w:val="6"/>
              </w:numPr>
              <w:jc w:val="left"/>
              <w:rPr/>
            </w:pPr>
            <w:r>
              <w:rPr>
                <w:b w:val="false"/>
                <w:bCs w:val="false"/>
              </w:rPr>
              <w:t>Recording the site plan on paper</w:t>
            </w:r>
          </w:p>
        </w:tc>
      </w:tr>
    </w:tbl>
    <w:p>
      <w:pPr>
        <w:pStyle w:val="Normal"/>
        <w:rPr/>
      </w:pPr>
      <w:r>
        <w:rPr>
          <w:color w:val="00000A"/>
          <w:lang w:val="en-US" w:eastAsia="ja-JP"/>
        </w:rPr>
        <w:br/>
        <w:t>This outline reveals that a generative pattern language is just the beginning of the project, and realization of the construction is possible.</w:t>
      </w:r>
    </w:p>
    <w:p>
      <w:pPr>
        <w:pStyle w:val="Normal"/>
        <w:rPr/>
      </w:pPr>
      <w:r>
        <w:rPr>
          <w:i/>
          <w:iCs/>
          <w:color w:val="00000A"/>
          <w:lang w:val="en-US" w:eastAsia="ja-JP"/>
        </w:rPr>
        <w:t>(i) Pattern language for the community</w:t>
      </w:r>
      <w:r>
        <w:rPr>
          <w:color w:val="00000A"/>
          <w:lang w:val="en-US" w:eastAsia="ja-JP"/>
        </w:rPr>
        <w:t xml:space="preserve"> shows that representatives of future occupants of the building are co-creators of a vision.  Work-in-progress is retained in rough form (e.g. hand-drawn sketches, not computer-modeled blueprints) to encourage further participation and revision.  The identification of key centers enables structures at large scales to be prioritized, leaving details to be worked out later.</w:t>
      </w:r>
    </w:p>
    <w:p>
      <w:pPr>
        <w:pStyle w:val="Normal"/>
        <w:rPr/>
      </w:pPr>
      <w:r>
        <w:rPr>
          <w:i/>
          <w:iCs/>
          <w:color w:val="00000A"/>
          <w:lang w:val="en-US" w:eastAsia="ja-JP"/>
        </w:rPr>
        <w:t>(ii) Construction budget</w:t>
      </w:r>
      <w:r>
        <w:rPr>
          <w:color w:val="00000A"/>
          <w:lang w:val="en-US" w:eastAsia="ja-JP"/>
        </w:rPr>
        <w:t xml:space="preserve"> grounds the initial vision into a practical context.  By having participants in groups discussing the trade-offs of the most essential features against less-preferred options, the priorities for construction are clarified.</w:t>
      </w:r>
    </w:p>
    <w:p>
      <w:pPr>
        <w:pStyle w:val="Normal"/>
        <w:rPr/>
      </w:pPr>
      <w:r>
        <w:rPr>
          <w:i/>
          <w:iCs/>
          <w:color w:val="00000A"/>
          <w:lang w:val="en-US" w:eastAsia="ja-JP"/>
        </w:rPr>
        <w:t>(iii) Reality of the land</w:t>
      </w:r>
      <w:r>
        <w:rPr>
          <w:color w:val="00000A"/>
          <w:lang w:val="en-US" w:eastAsia="ja-JP"/>
        </w:rPr>
        <w:t xml:space="preserve"> defers abstraction into blueprints so that subtle perceptual judgements can be discussed amongst the project team.  Lining up the system of centers in the land, and the system of centers in the buildings recognizes the different levels of scale that are at play.</w:t>
      </w:r>
    </w:p>
    <w:p>
      <w:pPr>
        <w:pStyle w:val="Normal"/>
        <w:rPr/>
      </w:pPr>
      <w:r>
        <w:rPr>
          <w:color w:val="00000A"/>
          <w:lang w:val="en-US" w:eastAsia="ja-JP"/>
        </w:rPr>
        <w:t xml:space="preserve">The strong positions of System-A "concerned with the well-being of the land, the integrity, the well-being of the people and plants and animals who inhabit the land", as compared to System-B "concerned with efficiency, with money, with power and control" </w:t>
      </w:r>
      <w:bookmarkStart w:id="3431" w:name="__UnoMark__23572_140394355"/>
      <w:bookmarkStart w:id="3432" w:name="__UnoMark__17351_140394355"/>
      <w:bookmarkStart w:id="3433" w:name="__UnoMark__15965_140394355"/>
      <w:bookmarkStart w:id="3434" w:name="__UnoMark__6131_1492540610"/>
      <w:bookmarkStart w:id="3435" w:name="__UnoMark__4235_599023520"/>
      <w:bookmarkStart w:id="3436" w:name="__UnoMark__3718_599023520"/>
      <w:bookmarkStart w:id="3437" w:name="__UnoMark__6918_41873585"/>
      <w:bookmarkStart w:id="3438" w:name="ZOTERO_BREF_EwjrHYAFgsEu"/>
      <w:bookmarkStart w:id="3439" w:name="__UnoMark__7450_41873585"/>
      <w:bookmarkStart w:id="3440" w:name="__UnoMark__5804_1443136783"/>
      <w:bookmarkStart w:id="3441" w:name="__UnoMark__11874_722878254"/>
      <w:bookmarkStart w:id="3442" w:name="__UnoMark__12542_722878254"/>
      <w:bookmarkStart w:id="3443" w:name="__UnoMark__7171_1586897740"/>
      <w:bookmarkStart w:id="3444" w:name="__UnoMark__14977_1661744717"/>
      <w:bookmarkStart w:id="3445" w:name="__UnoMark__15851_1661744717"/>
      <w:bookmarkStart w:id="3446" w:name="__UnoMark__16725_1661744717"/>
      <w:bookmarkStart w:id="3447" w:name="__UnoMark__17616_1661744717"/>
      <w:bookmarkStart w:id="3448" w:name="__UnoMark__17936_1661744717"/>
      <w:bookmarkStart w:id="3449" w:name="__UnoMark__13223_722878254"/>
      <w:bookmarkStart w:id="3450" w:name="__UnoMark__5546_1492540610"/>
      <w:bookmarkStart w:id="3451" w:name="__UnoMark__18512_1880123655"/>
      <w:bookmarkStart w:id="3452" w:name="__UnoMark__17401_1880123655"/>
      <w:bookmarkStart w:id="3453" w:name="__UnoMark__16354_1880123655"/>
      <w:bookmarkStart w:id="3454" w:name="__UnoMark__11011_283745954"/>
      <w:bookmarkStart w:id="3455" w:name="__UnoMark__10730_283745954"/>
      <w:bookmarkStart w:id="3456" w:name="__UnoMark__9634_283745954"/>
      <w:bookmarkStart w:id="3457" w:name="__UnoMark__8813_283745954"/>
      <w:bookmarkStart w:id="3458" w:name="__UnoMark__9460_435217427"/>
      <w:bookmarkStart w:id="3459" w:name="__UnoMark__25381_497913431"/>
      <w:bookmarkStart w:id="3460" w:name="__UnoMark__24520_497913431"/>
      <w:bookmarkStart w:id="3461" w:name="__UnoMark__23804_497913431"/>
      <w:bookmarkStart w:id="3462" w:name="__UnoMark__23100_497913431"/>
      <w:bookmarkStart w:id="3463" w:name="__UnoMark__22341_497913431"/>
      <w:bookmarkStart w:id="3464" w:name="__UnoMark__7955_497913431"/>
      <w:bookmarkStart w:id="3465" w:name="__UnoMark__11430_1492540610"/>
      <w:bookmarkStart w:id="3466" w:name="__UnoMark__10810_1492540610"/>
      <w:bookmarkStart w:id="3467" w:name="__UnoMark__10176_1492540610"/>
      <w:bookmarkStart w:id="3468" w:name="__UnoMark__9577_1492540610"/>
      <w:bookmarkStart w:id="3469" w:name="__UnoMark__8981_1492540610"/>
      <w:bookmarkStart w:id="3470" w:name="__UnoMark__27317_836371768"/>
      <w:bookmarkStart w:id="3471" w:name="__UnoMark__28462_836371768"/>
      <w:bookmarkStart w:id="3472" w:name="__UnoMark__29636_836371768"/>
      <w:bookmarkStart w:id="3473" w:name="__UnoMark__30797_836371768"/>
      <w:bookmarkStart w:id="3474" w:name="__UnoMark__40787_2025191570"/>
      <w:bookmarkStart w:id="3475" w:name="__UnoMark__42003_2025191570"/>
      <w:bookmarkStart w:id="3476" w:name="__UnoMark__43254_2025191570"/>
      <w:bookmarkStart w:id="3477" w:name="__UnoMark__44514_2025191570"/>
      <w:r>
        <w:rPr>
          <w:color w:val="00000A"/>
          <w:lang w:val="en-US" w:eastAsia="ja-JP"/>
        </w:rPr>
        <w:t>(Alexander, 2012, p. 11)</w:t>
      </w:r>
      <w:bookmarkStart w:id="3478" w:name="__UnoMark__7087_41873585"/>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r>
        <w:rPr>
          <w:color w:val="00000A"/>
          <w:lang w:val="en-US" w:eastAsia="ja-JP"/>
        </w:rPr>
        <w:t xml:space="preserve"> portrays philosophical differences.  An approach based on service systems thinking might come to the same conclusion about the institutions at play, but could potentially bring some light into appreciating why these systems continue to persist.</w:t>
      </w:r>
    </w:p>
    <w:p>
      <w:pPr>
        <w:pStyle w:val="Heading2"/>
        <w:numPr>
          <w:ilvl w:val="1"/>
          <w:numId w:val="2"/>
        </w:numPr>
        <w:rPr/>
      </w:pPr>
      <w:r>
        <w:rPr>
          <w:lang w:val="en-GB"/>
        </w:rPr>
        <w:t>Try services with user stories, scoping, reviewing iteratively</w:t>
      </w:r>
    </w:p>
    <w:p>
      <w:pPr>
        <w:pStyle w:val="Normal"/>
        <w:spacing w:before="0" w:after="0"/>
        <w:rPr/>
      </w:pPr>
      <w:r>
        <w:rPr>
          <w:color w:val="00000A"/>
          <w:lang w:val="en-GB"/>
        </w:rPr>
        <w:t xml:space="preserve">The spirit of service systems thinking is often reflected in agile methods, with the former more recent than the latter.  Many of the leading thinkers who were involved with bringing pattern language to software development have been active in the agile movement.  The traditional approach of waterfall methods – sequential steps of system requirements, software requirements, analysis, program design, coding, testing and operations – evolved during the planning of spacecraft missions </w:t>
      </w:r>
      <w:bookmarkStart w:id="3479" w:name="__UnoMark__23573_140394355"/>
      <w:bookmarkStart w:id="3480" w:name="__UnoMark__17352_140394355"/>
      <w:bookmarkStart w:id="3481" w:name="__UnoMark__15966_140394355"/>
      <w:bookmarkStart w:id="3482" w:name="__UnoMark__12543_722878254"/>
      <w:bookmarkStart w:id="3483" w:name="__UnoMark__11875_722878254"/>
      <w:bookmarkStart w:id="3484" w:name="__UnoMark__5805_1443136783"/>
      <w:bookmarkStart w:id="3485" w:name="ZOTERO_BREF_Fi6PIKpddJYK"/>
      <w:bookmarkStart w:id="3486" w:name="__UnoMark__7396_41873585"/>
      <w:bookmarkStart w:id="3487" w:name="__UnoMark__3662_599023520"/>
      <w:bookmarkStart w:id="3488" w:name="__UnoMark__4236_599023520"/>
      <w:bookmarkStart w:id="3489" w:name="__UnoMark__7172_1586897740"/>
      <w:bookmarkStart w:id="3490" w:name="__UnoMark__13224_722878254"/>
      <w:bookmarkStart w:id="3491" w:name="__UnoMark__14978_1661744717"/>
      <w:bookmarkStart w:id="3492" w:name="__UnoMark__15852_1661744717"/>
      <w:bookmarkStart w:id="3493" w:name="__UnoMark__16726_1661744717"/>
      <w:bookmarkStart w:id="3494" w:name="__UnoMark__17617_1661744717"/>
      <w:bookmarkStart w:id="3495" w:name="__UnoMark__17937_1661744717"/>
      <w:bookmarkStart w:id="3496" w:name="__UnoMark__6132_1492540610"/>
      <w:bookmarkStart w:id="3497" w:name="__UnoMark__5547_1492540610"/>
      <w:bookmarkStart w:id="3498" w:name="__UnoMark__17402_1880123655"/>
      <w:bookmarkStart w:id="3499" w:name="__UnoMark__16355_1880123655"/>
      <w:bookmarkStart w:id="3500" w:name="__UnoMark__11012_283745954"/>
      <w:bookmarkStart w:id="3501" w:name="__UnoMark__10731_283745954"/>
      <w:bookmarkStart w:id="3502" w:name="__UnoMark__9635_283745954"/>
      <w:bookmarkStart w:id="3503" w:name="__UnoMark__8814_283745954"/>
      <w:bookmarkStart w:id="3504" w:name="__UnoMark__9461_435217427"/>
      <w:bookmarkStart w:id="3505" w:name="__UnoMark__25382_497913431"/>
      <w:bookmarkStart w:id="3506" w:name="__UnoMark__18513_1880123655"/>
      <w:bookmarkStart w:id="3507" w:name="__UnoMark__23805_497913431"/>
      <w:bookmarkStart w:id="3508" w:name="__UnoMark__23101_497913431"/>
      <w:bookmarkStart w:id="3509" w:name="__UnoMark__22342_497913431"/>
      <w:bookmarkStart w:id="3510" w:name="__UnoMark__7956_497913431"/>
      <w:bookmarkStart w:id="3511" w:name="__UnoMark__11431_1492540610"/>
      <w:bookmarkStart w:id="3512" w:name="__UnoMark__10811_1492540610"/>
      <w:bookmarkStart w:id="3513" w:name="__UnoMark__10177_1492540610"/>
      <w:bookmarkStart w:id="3514" w:name="__UnoMark__9578_1492540610"/>
      <w:bookmarkStart w:id="3515" w:name="__UnoMark__8982_1492540610"/>
      <w:bookmarkStart w:id="3516" w:name="__UnoMark__24521_497913431"/>
      <w:bookmarkStart w:id="3517" w:name="__UnoMark__27318_836371768"/>
      <w:bookmarkStart w:id="3518" w:name="__UnoMark__28463_836371768"/>
      <w:bookmarkStart w:id="3519" w:name="__UnoMark__29637_836371768"/>
      <w:bookmarkStart w:id="3520" w:name="__UnoMark__30798_836371768"/>
      <w:bookmarkStart w:id="3521" w:name="__UnoMark__40788_2025191570"/>
      <w:bookmarkStart w:id="3522" w:name="__UnoMark__42004_2025191570"/>
      <w:bookmarkStart w:id="3523" w:name="__UnoMark__43255_2025191570"/>
      <w:bookmarkStart w:id="3524" w:name="__UnoMark__44515_2025191570"/>
      <w:r>
        <w:rPr>
          <w:color w:val="00000A"/>
          <w:lang w:val="en-GB"/>
        </w:rPr>
        <w:t>(Royce, 1970)</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rPr>
          <w:color w:val="00000A"/>
          <w:lang w:val="en-GB"/>
        </w:rPr>
        <w:t xml:space="preserve">.  In 2001, a group of respected software methodologists came together to discuss an alternative to the overly formal waterfall approach, that was not resulting in successful projects.  The 17 signatories agreed on the 4 values and 12 principles as the Manifesto for Agile Software Development, reflecting a common underlying basis of the way they were working </w:t>
      </w:r>
      <w:bookmarkStart w:id="3525" w:name="__UnoMark__23574_140394355"/>
      <w:bookmarkStart w:id="3526" w:name="__UnoMark__17353_140394355"/>
      <w:bookmarkStart w:id="3527" w:name="__UnoMark__15967_140394355"/>
      <w:bookmarkStart w:id="3528" w:name="__UnoMark__5548_1492540610"/>
      <w:bookmarkStart w:id="3529" w:name="__UnoMark__4237_599023520"/>
      <w:bookmarkStart w:id="3530" w:name="ZOTERO_BREF_eOQbdC1gMVdf"/>
      <w:bookmarkStart w:id="3531" w:name="__UnoMark__3664_599023520"/>
      <w:bookmarkStart w:id="3532" w:name="__UnoMark__5806_1443136783"/>
      <w:bookmarkStart w:id="3533" w:name="__UnoMark__11876_722878254"/>
      <w:bookmarkStart w:id="3534" w:name="__UnoMark__12544_722878254"/>
      <w:bookmarkStart w:id="3535" w:name="__UnoMark__13225_722878254"/>
      <w:bookmarkStart w:id="3536" w:name="__UnoMark__14979_1661744717"/>
      <w:bookmarkStart w:id="3537" w:name="__UnoMark__15853_1661744717"/>
      <w:bookmarkStart w:id="3538" w:name="__UnoMark__16727_1661744717"/>
      <w:bookmarkStart w:id="3539" w:name="__UnoMark__17618_1661744717"/>
      <w:bookmarkStart w:id="3540" w:name="__UnoMark__17938_1661744717"/>
      <w:bookmarkStart w:id="3541" w:name="__UnoMark__6133_1492540610"/>
      <w:bookmarkStart w:id="3542" w:name="__UnoMark__7173_1586897740"/>
      <w:bookmarkStart w:id="3543" w:name="__UnoMark__18514_1880123655"/>
      <w:bookmarkStart w:id="3544" w:name="__UnoMark__17403_1880123655"/>
      <w:bookmarkStart w:id="3545" w:name="__UnoMark__16356_1880123655"/>
      <w:bookmarkStart w:id="3546" w:name="__UnoMark__11013_283745954"/>
      <w:bookmarkStart w:id="3547" w:name="__UnoMark__10732_283745954"/>
      <w:bookmarkStart w:id="3548" w:name="__UnoMark__9636_283745954"/>
      <w:bookmarkStart w:id="3549" w:name="__UnoMark__8815_283745954"/>
      <w:bookmarkStart w:id="3550" w:name="__UnoMark__9462_435217427"/>
      <w:bookmarkStart w:id="3551" w:name="__UnoMark__25383_497913431"/>
      <w:bookmarkStart w:id="3552" w:name="__UnoMark__24522_497913431"/>
      <w:bookmarkStart w:id="3553" w:name="__UnoMark__23806_497913431"/>
      <w:bookmarkStart w:id="3554" w:name="__UnoMark__23102_497913431"/>
      <w:bookmarkStart w:id="3555" w:name="__UnoMark__22343_497913431"/>
      <w:bookmarkStart w:id="3556" w:name="__UnoMark__7957_497913431"/>
      <w:bookmarkStart w:id="3557" w:name="__UnoMark__11432_1492540610"/>
      <w:bookmarkStart w:id="3558" w:name="__UnoMark__10812_1492540610"/>
      <w:bookmarkStart w:id="3559" w:name="__UnoMark__10178_1492540610"/>
      <w:bookmarkStart w:id="3560" w:name="__UnoMark__9579_1492540610"/>
      <w:bookmarkStart w:id="3561" w:name="__UnoMark__8983_1492540610"/>
      <w:bookmarkStart w:id="3562" w:name="__UnoMark__27319_836371768"/>
      <w:bookmarkStart w:id="3563" w:name="__UnoMark__28464_836371768"/>
      <w:bookmarkStart w:id="3564" w:name="__UnoMark__29638_836371768"/>
      <w:bookmarkStart w:id="3565" w:name="__UnoMark__30799_836371768"/>
      <w:bookmarkStart w:id="3566" w:name="__UnoMark__40789_2025191570"/>
      <w:bookmarkStart w:id="3567" w:name="__UnoMark__42005_2025191570"/>
      <w:bookmarkStart w:id="3568" w:name="__UnoMark__43256_2025191570"/>
      <w:bookmarkStart w:id="3569" w:name="__UnoMark__44516_2025191570"/>
      <w:r>
        <w:rPr>
          <w:color w:val="00000A"/>
          <w:lang w:val="en-GB"/>
        </w:rPr>
        <w:t>(Cockburn, 2011)</w:t>
      </w:r>
      <w:bookmarkStart w:id="3570" w:name="__UnoMark__3838_599023520"/>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r>
        <w:rPr>
          <w:color w:val="00000A"/>
          <w:lang w:val="en-GB"/>
        </w:rPr>
        <w:t>.  The values included:</w:t>
      </w:r>
    </w:p>
    <w:p>
      <w:pPr>
        <w:pStyle w:val="Normal"/>
        <w:numPr>
          <w:ilvl w:val="0"/>
          <w:numId w:val="10"/>
        </w:numPr>
        <w:spacing w:before="0" w:after="0"/>
        <w:rPr/>
      </w:pPr>
      <w:r>
        <w:rPr>
          <w:i/>
          <w:iCs/>
          <w:color w:val="00000A"/>
          <w:lang w:val="en-GB"/>
        </w:rPr>
        <w:t>Individuals and interactions</w:t>
      </w:r>
      <w:r>
        <w:rPr>
          <w:color w:val="00000A"/>
          <w:lang w:val="en-GB"/>
        </w:rPr>
        <w:t xml:space="preserve"> over processes and tools</w:t>
      </w:r>
    </w:p>
    <w:p>
      <w:pPr>
        <w:pStyle w:val="Normal"/>
        <w:numPr>
          <w:ilvl w:val="0"/>
          <w:numId w:val="10"/>
        </w:numPr>
        <w:spacing w:before="0" w:after="0"/>
        <w:rPr/>
      </w:pPr>
      <w:r>
        <w:rPr>
          <w:i/>
          <w:iCs/>
          <w:color w:val="00000A"/>
          <w:lang w:val="en-GB"/>
        </w:rPr>
        <w:t>Working software</w:t>
      </w:r>
      <w:r>
        <w:rPr>
          <w:color w:val="00000A"/>
          <w:lang w:val="en-GB"/>
        </w:rPr>
        <w:t xml:space="preserve"> over comprehensive documentation</w:t>
      </w:r>
    </w:p>
    <w:p>
      <w:pPr>
        <w:pStyle w:val="Normal"/>
        <w:numPr>
          <w:ilvl w:val="0"/>
          <w:numId w:val="10"/>
        </w:numPr>
        <w:spacing w:before="0" w:after="0"/>
        <w:rPr/>
      </w:pPr>
      <w:r>
        <w:rPr>
          <w:i/>
          <w:iCs/>
          <w:color w:val="00000A"/>
          <w:lang w:val="en-GB"/>
        </w:rPr>
        <w:t>Customer collaboration</w:t>
      </w:r>
      <w:r>
        <w:rPr>
          <w:color w:val="00000A"/>
          <w:lang w:val="en-GB"/>
        </w:rPr>
        <w:t xml:space="preserve"> over contract negotiation</w:t>
      </w:r>
    </w:p>
    <w:p>
      <w:pPr>
        <w:pStyle w:val="Normal"/>
        <w:numPr>
          <w:ilvl w:val="0"/>
          <w:numId w:val="10"/>
        </w:numPr>
        <w:spacing w:before="0" w:after="0"/>
        <w:rPr/>
      </w:pPr>
      <w:r>
        <w:rPr>
          <w:i/>
          <w:iCs/>
          <w:color w:val="00000A"/>
          <w:lang w:val="en-GB"/>
        </w:rPr>
        <w:t>Responding to change</w:t>
      </w:r>
      <w:r>
        <w:rPr>
          <w:color w:val="00000A"/>
          <w:lang w:val="en-GB"/>
        </w:rPr>
        <w:t xml:space="preserve"> over following a plan</w:t>
      </w:r>
    </w:p>
    <w:p>
      <w:pPr>
        <w:pStyle w:val="Normal"/>
        <w:rPr/>
      </w:pPr>
      <w:r>
        <w:rPr>
          <w:color w:val="00000A"/>
          <w:lang w:val="en-GB"/>
        </w:rPr>
        <w:t xml:space="preserve">Ten years later, these values had become well-known in industry, and a revisiting the manifesto did not call for a major revision </w:t>
      </w:r>
      <w:bookmarkStart w:id="3571" w:name="__UnoMark__23575_140394355"/>
      <w:bookmarkStart w:id="3572" w:name="__UnoMark__17354_140394355"/>
      <w:bookmarkStart w:id="3573" w:name="__UnoMark__15968_140394355"/>
      <w:bookmarkStart w:id="3574" w:name="__UnoMark__7174_1586897740"/>
      <w:bookmarkStart w:id="3575" w:name="__UnoMark__5549_1492540610"/>
      <w:bookmarkStart w:id="3576" w:name="ZOTERO_BREF_sVLd8lcf2jjm"/>
      <w:bookmarkStart w:id="3577" w:name="__UnoMark__4181_599023520"/>
      <w:bookmarkStart w:id="3578" w:name="__UnoMark__5807_1443136783"/>
      <w:bookmarkStart w:id="3579" w:name="__UnoMark__11877_722878254"/>
      <w:bookmarkStart w:id="3580" w:name="__UnoMark__12545_722878254"/>
      <w:bookmarkStart w:id="3581" w:name="__UnoMark__13226_722878254"/>
      <w:bookmarkStart w:id="3582" w:name="__UnoMark__14980_1661744717"/>
      <w:bookmarkStart w:id="3583" w:name="__UnoMark__15854_1661744717"/>
      <w:bookmarkStart w:id="3584" w:name="__UnoMark__16728_1661744717"/>
      <w:bookmarkStart w:id="3585" w:name="__UnoMark__17619_1661744717"/>
      <w:bookmarkStart w:id="3586" w:name="__UnoMark__17939_1661744717"/>
      <w:bookmarkStart w:id="3587" w:name="__UnoMark__8984_1492540610"/>
      <w:bookmarkStart w:id="3588" w:name="__UnoMark__6134_1492540610"/>
      <w:bookmarkStart w:id="3589" w:name="__UnoMark__18515_1880123655"/>
      <w:bookmarkStart w:id="3590" w:name="__UnoMark__17404_1880123655"/>
      <w:bookmarkStart w:id="3591" w:name="__UnoMark__11014_283745954"/>
      <w:bookmarkStart w:id="3592" w:name="__UnoMark__10733_283745954"/>
      <w:bookmarkStart w:id="3593" w:name="__UnoMark__9637_283745954"/>
      <w:bookmarkStart w:id="3594" w:name="__UnoMark__8816_283745954"/>
      <w:bookmarkStart w:id="3595" w:name="__UnoMark__9463_435217427"/>
      <w:bookmarkStart w:id="3596" w:name="__UnoMark__25384_497913431"/>
      <w:bookmarkStart w:id="3597" w:name="__UnoMark__16357_1880123655"/>
      <w:bookmarkStart w:id="3598" w:name="__UnoMark__23807_497913431"/>
      <w:bookmarkStart w:id="3599" w:name="__UnoMark__23103_497913431"/>
      <w:bookmarkStart w:id="3600" w:name="__UnoMark__22344_497913431"/>
      <w:bookmarkStart w:id="3601" w:name="__UnoMark__7958_497913431"/>
      <w:bookmarkStart w:id="3602" w:name="__UnoMark__11433_1492540610"/>
      <w:bookmarkStart w:id="3603" w:name="__UnoMark__10813_1492540610"/>
      <w:bookmarkStart w:id="3604" w:name="__UnoMark__10179_1492540610"/>
      <w:bookmarkStart w:id="3605" w:name="__UnoMark__9580_1492540610"/>
      <w:bookmarkStart w:id="3606" w:name="__UnoMark__24523_497913431"/>
      <w:bookmarkStart w:id="3607" w:name="__UnoMark__27320_836371768"/>
      <w:bookmarkStart w:id="3608" w:name="__UnoMark__28465_836371768"/>
      <w:bookmarkStart w:id="3609" w:name="__UnoMark__29639_836371768"/>
      <w:bookmarkStart w:id="3610" w:name="__UnoMark__30800_836371768"/>
      <w:bookmarkStart w:id="3611" w:name="__UnoMark__40790_2025191570"/>
      <w:bookmarkStart w:id="3612" w:name="__UnoMark__42006_2025191570"/>
      <w:bookmarkStart w:id="3613" w:name="__UnoMark__43257_2025191570"/>
      <w:bookmarkStart w:id="3614" w:name="__UnoMark__44517_2025191570"/>
      <w:r>
        <w:rPr>
          <w:color w:val="00000A"/>
          <w:lang w:val="en-GB"/>
        </w:rPr>
        <w:t>(Ambler, 2011)</w:t>
      </w:r>
      <w:bookmarkStart w:id="3615" w:name="__UnoMark__4359_59902352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r>
        <w:rPr>
          <w:color w:val="00000A"/>
          <w:lang w:val="en-GB"/>
        </w:rPr>
        <w:t>.  Some of the practices currently used every day by many software developers are outlined in Table 5.</w:t>
      </w:r>
    </w:p>
    <w:p>
      <w:pPr>
        <w:pStyle w:val="Caption1"/>
        <w:rPr/>
      </w:pPr>
      <w:r>
        <w:rPr/>
        <w:t xml:space="preserve">Table </w:t>
      </w:r>
      <w:r>
        <w:rPr/>
        <w:fldChar w:fldCharType="begin"/>
      </w:r>
      <w:r>
        <w:instrText> SEQ Table \* ARABIC </w:instrText>
      </w:r>
      <w:r>
        <w:fldChar w:fldCharType="separate"/>
      </w:r>
      <w:r>
        <w:t>5</w:t>
      </w:r>
      <w:r>
        <w:fldChar w:fldCharType="end"/>
      </w:r>
      <w:r>
        <w:rPr/>
        <w:t>: Agile methods</w:t>
      </w:r>
      <w:bookmarkStart w:id="3616" w:name="__UnoMark__23576_140394355"/>
      <w:bookmarkStart w:id="3617" w:name="__UnoMark__17355_140394355"/>
      <w:bookmarkStart w:id="3618" w:name="__UnoMark__15969_140394355"/>
      <w:bookmarkStart w:id="3619" w:name="__UnoMark__5808_1443136783"/>
      <w:bookmarkStart w:id="3620" w:name="__UnoMark__6972_41873585"/>
      <w:bookmarkStart w:id="3621" w:name="__UnoMark__6373_41873585"/>
      <w:bookmarkStart w:id="3622" w:name="__UnoMark__5879_41873585"/>
      <w:bookmarkStart w:id="3623" w:name="__UnoMark__5364_41873585"/>
      <w:bookmarkStart w:id="3624" w:name="__UnoMark__4875_41873585"/>
      <w:bookmarkStart w:id="3625" w:name="ZOTERO_BREF_iMehN0N9rGAw1"/>
      <w:bookmarkStart w:id="3626" w:name="__UnoMark__3993_348219782"/>
      <w:bookmarkStart w:id="3627" w:name="__UnoMark__4427_348219782"/>
      <w:bookmarkStart w:id="3628" w:name="__UnoMark__12353_1244819659"/>
      <w:bookmarkStart w:id="3629" w:name="__UnoMark__12783_1244819659"/>
      <w:bookmarkStart w:id="3630" w:name="__UnoMark__7451_41873585"/>
      <w:bookmarkStart w:id="3631" w:name="__UnoMark__11878_722878254"/>
      <w:bookmarkStart w:id="3632" w:name="__UnoMark__12546_722878254"/>
      <w:bookmarkStart w:id="3633" w:name="__UnoMark__13227_722878254"/>
      <w:bookmarkStart w:id="3634" w:name="__UnoMark__7175_1586897740"/>
      <w:bookmarkStart w:id="3635" w:name="__UnoMark__14981_1661744717"/>
      <w:bookmarkStart w:id="3636" w:name="__UnoMark__15855_1661744717"/>
      <w:bookmarkStart w:id="3637" w:name="__UnoMark__16729_1661744717"/>
      <w:bookmarkStart w:id="3638" w:name="__UnoMark__17620_1661744717"/>
      <w:bookmarkStart w:id="3639" w:name="__UnoMark__17940_1661744717"/>
      <w:bookmarkStart w:id="3640" w:name="__UnoMark__3719_599023520"/>
      <w:bookmarkStart w:id="3641" w:name="__UnoMark__18516_1880123655"/>
      <w:bookmarkStart w:id="3642" w:name="__UnoMark__17405_1880123655"/>
      <w:bookmarkStart w:id="3643" w:name="__UnoMark__16358_1880123655"/>
      <w:bookmarkStart w:id="3644" w:name="__UnoMark__11015_283745954"/>
      <w:bookmarkStart w:id="3645" w:name="__UnoMark__10734_283745954"/>
      <w:bookmarkStart w:id="3646" w:name="__UnoMark__9638_283745954"/>
      <w:bookmarkStart w:id="3647" w:name="__UnoMark__8817_283745954"/>
      <w:bookmarkStart w:id="3648" w:name="__UnoMark__9464_435217427"/>
      <w:bookmarkStart w:id="3649" w:name="__UnoMark__25385_497913431"/>
      <w:bookmarkStart w:id="3650" w:name="__UnoMark__24524_497913431"/>
      <w:bookmarkStart w:id="3651" w:name="__UnoMark__4238_599023520"/>
      <w:bookmarkStart w:id="3652" w:name="__UnoMark__12926_1244819659"/>
      <w:bookmarkStart w:id="3653" w:name="__UnoMark__5550_1492540610"/>
      <w:bookmarkStart w:id="3654" w:name="__UnoMark__6135_1492540610"/>
      <w:bookmarkStart w:id="3655" w:name="__UnoMark__8985_1492540610"/>
      <w:bookmarkStart w:id="3656" w:name="__UnoMark__9581_1492540610"/>
      <w:bookmarkStart w:id="3657" w:name="__UnoMark__10180_1492540610"/>
      <w:bookmarkStart w:id="3658" w:name="__UnoMark__10814_1492540610"/>
      <w:bookmarkStart w:id="3659" w:name="__UnoMark__11434_1492540610"/>
      <w:bookmarkStart w:id="3660" w:name="__UnoMark__7959_497913431"/>
      <w:bookmarkStart w:id="3661" w:name="__UnoMark__22345_497913431"/>
      <w:bookmarkStart w:id="3662" w:name="__UnoMark__23104_497913431"/>
      <w:bookmarkStart w:id="3663" w:name="__UnoMark__23808_497913431"/>
      <w:bookmarkStart w:id="3664" w:name="__UnoMark__27321_836371768"/>
      <w:bookmarkStart w:id="3665" w:name="__UnoMark__28466_836371768"/>
      <w:bookmarkStart w:id="3666" w:name="__UnoMark__29640_836371768"/>
      <w:bookmarkStart w:id="3667" w:name="__UnoMark__30801_836371768"/>
      <w:bookmarkStart w:id="3668" w:name="__UnoMark__40791_2025191570"/>
      <w:bookmarkStart w:id="3669" w:name="__UnoMark__42007_2025191570"/>
      <w:bookmarkStart w:id="3670" w:name="__UnoMark__43258_2025191570"/>
      <w:bookmarkStart w:id="3671" w:name="__UnoMark__44518_2025191570"/>
      <w:bookmarkStart w:id="3672" w:name="__UnoMark__2918_348219782"/>
      <w:bookmarkStart w:id="3673" w:name="__UnoMark__2917_348219782"/>
      <w:bookmarkEnd w:id="3672"/>
      <w:bookmarkEnd w:id="3673"/>
      <w:r>
        <w:rPr/>
        <w:t xml:space="preserve"> </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rPr/>
        <w:t>include user stories, scoping and reviewing iteratively</w:t>
      </w:r>
    </w:p>
    <w:tbl>
      <w:tblPr>
        <w:tblW w:w="9065" w:type="dxa"/>
        <w:jc w:val="left"/>
        <w:tblInd w:w="-2" w:type="dxa"/>
        <w:tblBorders>
          <w:top w:val="single" w:sz="2" w:space="0" w:color="B3B3B3"/>
          <w:left w:val="single" w:sz="2" w:space="0" w:color="B3B3B3"/>
          <w:bottom w:val="single" w:sz="2" w:space="0" w:color="B3B3B3"/>
          <w:right w:val="single" w:sz="2" w:space="0" w:color="B3B3B3"/>
          <w:insideH w:val="single" w:sz="2" w:space="0" w:color="B3B3B3"/>
          <w:insideV w:val="single" w:sz="2" w:space="0" w:color="B3B3B3"/>
        </w:tblBorders>
        <w:tblCellMar>
          <w:top w:w="0" w:type="dxa"/>
          <w:left w:w="-2" w:type="dxa"/>
          <w:bottom w:w="0" w:type="dxa"/>
          <w:right w:w="0" w:type="dxa"/>
        </w:tblCellMar>
      </w:tblPr>
      <w:tblGrid>
        <w:gridCol w:w="1648"/>
        <w:gridCol w:w="7416"/>
      </w:tblGrid>
      <w:tr>
        <w:trPr>
          <w:cantSplit w:val="true"/>
        </w:trPr>
        <w:tc>
          <w:tcPr>
            <w:tcW w:w="9064" w:type="dxa"/>
            <w:gridSpan w:val="2"/>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t>Agile methods originating from software development (e.g. scrum)</w:t>
            </w:r>
          </w:p>
        </w:tc>
      </w:tr>
      <w:tr>
        <w:trPr>
          <w:cantSplit w:val="true"/>
        </w:trPr>
        <w:tc>
          <w:tcPr>
            <w:tcW w:w="164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(i) Writing user stories (with Behavior Driven Development)</w:t>
            </w:r>
          </w:p>
        </w:tc>
        <w:tc>
          <w:tcPr>
            <w:tcW w:w="7416"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numPr>
                <w:ilvl w:val="0"/>
                <w:numId w:val="7"/>
              </w:numPr>
              <w:jc w:val="left"/>
              <w:rPr/>
            </w:pPr>
            <w:r>
              <w:rPr/>
              <w:t xml:space="preserve">Card (new capability on front side): </w:t>
              <w:br/>
              <w:t>As a [role], I want to [action/function] so that [value]</w:t>
            </w:r>
          </w:p>
          <w:p>
            <w:pPr>
              <w:pStyle w:val="TableContents"/>
              <w:numPr>
                <w:ilvl w:val="0"/>
                <w:numId w:val="7"/>
              </w:numPr>
              <w:jc w:val="left"/>
              <w:rPr/>
            </w:pPr>
            <w:r>
              <w:rPr/>
              <w:t>Conversation:</w:t>
              <w:br/>
              <w:t>Details as conditions of satisfaction (represented by product owner)</w:t>
            </w:r>
          </w:p>
          <w:p>
            <w:pPr>
              <w:pStyle w:val="TableContents"/>
              <w:numPr>
                <w:ilvl w:val="0"/>
                <w:numId w:val="7"/>
              </w:numPr>
              <w:jc w:val="left"/>
              <w:rPr/>
            </w:pPr>
            <w:r>
              <w:rPr/>
              <w:t xml:space="preserve">Confirmation (acceptance tests, on back side): </w:t>
              <w:br/>
              <w:t>Given [some initial context], when [an event occurs], then [ensure some outcomes]</w:t>
            </w:r>
          </w:p>
        </w:tc>
      </w:tr>
      <w:tr>
        <w:trPr>
          <w:cantSplit w:val="true"/>
        </w:trPr>
        <w:tc>
          <w:tcPr>
            <w:tcW w:w="164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(ii) Scoping;   estimating value, costs and dates</w:t>
            </w:r>
          </w:p>
        </w:tc>
        <w:tc>
          <w:tcPr>
            <w:tcW w:w="7416"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numPr>
                <w:ilvl w:val="0"/>
                <w:numId w:val="8"/>
              </w:numPr>
              <w:jc w:val="left"/>
              <w:rPr/>
            </w:pPr>
            <w:r>
              <w:rPr/>
              <w:t>Scoping projects (i.e. portfolio, solutions, releases)</w:t>
            </w:r>
          </w:p>
          <w:p>
            <w:pPr>
              <w:pStyle w:val="TableContents"/>
              <w:numPr>
                <w:ilvl w:val="0"/>
                <w:numId w:val="8"/>
              </w:numPr>
              <w:jc w:val="left"/>
              <w:rPr/>
            </w:pPr>
            <w:r>
              <w:rPr/>
              <w:t>Estimating size (e.g. story points), derive duration (aggregating into themes, splitting epics)</w:t>
            </w:r>
          </w:p>
          <w:p>
            <w:pPr>
              <w:pStyle w:val="TableContents"/>
              <w:numPr>
                <w:ilvl w:val="0"/>
                <w:numId w:val="8"/>
              </w:numPr>
              <w:jc w:val="left"/>
              <w:rPr/>
            </w:pPr>
            <w:r>
              <w:rPr/>
              <w:t>Identifying risks (e.g. technical, organizational, delivery)</w:t>
            </w:r>
          </w:p>
        </w:tc>
      </w:tr>
      <w:tr>
        <w:trPr>
          <w:cantSplit w:val="true"/>
        </w:trPr>
        <w:tc>
          <w:tcPr>
            <w:tcW w:w="164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(iii) Reviewing iteratively; tracking work item backlogs</w:t>
            </w:r>
          </w:p>
        </w:tc>
        <w:tc>
          <w:tcPr>
            <w:tcW w:w="7416"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numPr>
                <w:ilvl w:val="0"/>
                <w:numId w:val="9"/>
              </w:numPr>
              <w:jc w:val="left"/>
              <w:rPr/>
            </w:pPr>
            <w:r>
              <w:rPr>
                <w:b w:val="false"/>
                <w:bCs w:val="false"/>
              </w:rPr>
              <w:t>Demonstrating iterations to stakeholders, conducting retrospective reviews</w:t>
            </w:r>
          </w:p>
          <w:p>
            <w:pPr>
              <w:pStyle w:val="TableContents"/>
              <w:numPr>
                <w:ilvl w:val="0"/>
                <w:numId w:val="9"/>
              </w:numPr>
              <w:jc w:val="left"/>
              <w:rPr/>
            </w:pPr>
            <w:r>
              <w:rPr>
                <w:b w:val="false"/>
                <w:bCs w:val="false"/>
              </w:rPr>
              <w:t>Tracking sprint velocity (though kanban, backlog, burn-down)</w:t>
            </w:r>
          </w:p>
          <w:p>
            <w:pPr>
              <w:pStyle w:val="TableContents"/>
              <w:numPr>
                <w:ilvl w:val="0"/>
                <w:numId w:val="9"/>
              </w:numPr>
              <w:jc w:val="left"/>
              <w:rPr/>
            </w:pPr>
            <w:r>
              <w:rPr>
                <w:b w:val="false"/>
                <w:bCs w:val="false"/>
              </w:rPr>
              <w:t>Coordinating daily for blockers (e.g. Scrum stand-up)</w:t>
            </w:r>
          </w:p>
        </w:tc>
      </w:tr>
    </w:tbl>
    <w:p>
      <w:pPr>
        <w:pStyle w:val="Normal"/>
        <w:rPr/>
      </w:pPr>
      <w:r>
        <w:rPr>
          <w:color w:val="00000A"/>
          <w:lang w:val="en-US" w:eastAsia="ja-JP"/>
        </w:rPr>
        <w:br/>
        <w:t xml:space="preserve">Agile methodologies includes (i) management techniques (e.g. Scrum), (ii) development processes (e.g. XP (Extreme Programming)), and (iii) coordination tools (e.g. kanban, backlog management).  These practices have applied on with small teams, and scaled up to  enterprise systems </w:t>
      </w:r>
      <w:bookmarkStart w:id="3674" w:name="__UnoMark__23577_140394355"/>
      <w:bookmarkStart w:id="3675" w:name="__UnoMark__17356_140394355"/>
      <w:bookmarkStart w:id="3676" w:name="__UnoMark__15970_140394355"/>
      <w:bookmarkStart w:id="3677" w:name="__UnoMark__7176_1586897740"/>
      <w:bookmarkStart w:id="3678" w:name="__UnoMark__6136_1492540610"/>
      <w:bookmarkStart w:id="3679" w:name="__UnoMark__5551_1492540610"/>
      <w:bookmarkStart w:id="3680" w:name="ZOTERO_BREF_o81lZX0edwp2"/>
      <w:bookmarkStart w:id="3681" w:name="__UnoMark__5809_1443136783"/>
      <w:bookmarkStart w:id="3682" w:name="__UnoMark__11879_722878254"/>
      <w:bookmarkStart w:id="3683" w:name="__UnoMark__12547_722878254"/>
      <w:bookmarkStart w:id="3684" w:name="__UnoMark__13228_722878254"/>
      <w:bookmarkStart w:id="3685" w:name="__UnoMark__14982_1661744717"/>
      <w:bookmarkStart w:id="3686" w:name="__UnoMark__15856_1661744717"/>
      <w:bookmarkStart w:id="3687" w:name="__UnoMark__16730_1661744717"/>
      <w:bookmarkStart w:id="3688" w:name="__UnoMark__17621_1661744717"/>
      <w:bookmarkStart w:id="3689" w:name="__UnoMark__9582_1492540610"/>
      <w:bookmarkStart w:id="3690" w:name="__UnoMark__8986_1492540610"/>
      <w:bookmarkStart w:id="3691" w:name="__UnoMark__17941_1661744717"/>
      <w:bookmarkStart w:id="3692" w:name="__UnoMark__18517_1880123655"/>
      <w:bookmarkStart w:id="3693" w:name="__UnoMark__17406_1880123655"/>
      <w:bookmarkStart w:id="3694" w:name="__UnoMark__16359_1880123655"/>
      <w:bookmarkStart w:id="3695" w:name="__UnoMark__11016_283745954"/>
      <w:bookmarkStart w:id="3696" w:name="__UnoMark__10735_283745954"/>
      <w:bookmarkStart w:id="3697" w:name="__UnoMark__9639_283745954"/>
      <w:bookmarkStart w:id="3698" w:name="__UnoMark__8818_283745954"/>
      <w:bookmarkStart w:id="3699" w:name="__UnoMark__9465_435217427"/>
      <w:bookmarkStart w:id="3700" w:name="__UnoMark__25386_497913431"/>
      <w:bookmarkStart w:id="3701" w:name="__UnoMark__24525_497913431"/>
      <w:bookmarkStart w:id="3702" w:name="__UnoMark__23809_497913431"/>
      <w:bookmarkStart w:id="3703" w:name="__UnoMark__23105_497913431"/>
      <w:bookmarkStart w:id="3704" w:name="__UnoMark__22346_497913431"/>
      <w:bookmarkStart w:id="3705" w:name="__UnoMark__10181_1492540610"/>
      <w:bookmarkStart w:id="3706" w:name="__UnoMark__7960_497913431"/>
      <w:bookmarkStart w:id="3707" w:name="__UnoMark__11435_1492540610"/>
      <w:bookmarkStart w:id="3708" w:name="__UnoMark__10815_1492540610"/>
      <w:bookmarkStart w:id="3709" w:name="__UnoMark__27322_836371768"/>
      <w:bookmarkStart w:id="3710" w:name="__UnoMark__28467_836371768"/>
      <w:bookmarkStart w:id="3711" w:name="__UnoMark__29641_836371768"/>
      <w:bookmarkStart w:id="3712" w:name="__UnoMark__30802_836371768"/>
      <w:bookmarkStart w:id="3713" w:name="__UnoMark__40792_2025191570"/>
      <w:bookmarkStart w:id="3714" w:name="__UnoMark__42008_2025191570"/>
      <w:bookmarkStart w:id="3715" w:name="__UnoMark__43259_2025191570"/>
      <w:bookmarkStart w:id="3716" w:name="__UnoMark__44519_2025191570"/>
      <w:r>
        <w:rPr>
          <w:color w:val="00000A"/>
          <w:lang w:val="en-US" w:eastAsia="ja-JP"/>
        </w:rPr>
        <w:t>(Ambler &amp; Lines, 2012)</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r>
        <w:rPr>
          <w:color w:val="00000A"/>
          <w:lang w:val="en-US" w:eastAsia="ja-JP"/>
        </w:rPr>
        <w:t>.</w:t>
      </w:r>
    </w:p>
    <w:p>
      <w:pPr>
        <w:pStyle w:val="Normal"/>
        <w:rPr/>
      </w:pPr>
      <w:r>
        <w:rPr>
          <w:i/>
          <w:iCs/>
          <w:color w:val="00000A"/>
          <w:lang w:val="en-US" w:eastAsia="ja-JP"/>
        </w:rPr>
        <w:t>(i) Writing user stories</w:t>
      </w:r>
      <w:r>
        <w:rPr>
          <w:color w:val="00000A"/>
          <w:lang w:val="en-US" w:eastAsia="ja-JP"/>
        </w:rPr>
        <w:t xml:space="preserve"> departs from the "requirements" and "analysis" phases of the waterfall approach.  The goal is to move away from written specifications, and to encourage ongoing conversations with between clients and developers through memorable narratives.  To encourage informality, the format of a user story has three parts:  the front of card with (a) the new capability desired, and (b) the conversation about conditions of satisfaction; and the back of the card with (c) confirmation acceptance tests.  The practice evolved from TDD (test-driven development) intended to ensure code works, to BDD (behavior-driven development) where scenario descriptions from clients could be executable for acceptance </w:t>
      </w:r>
      <w:bookmarkStart w:id="3717" w:name="__UnoMark__23578_140394355"/>
      <w:bookmarkStart w:id="3718" w:name="__UnoMark__17357_140394355"/>
      <w:bookmarkStart w:id="3719" w:name="__UnoMark__15971_140394355"/>
      <w:bookmarkStart w:id="3720" w:name="__UnoMark__9583_1492540610"/>
      <w:bookmarkStart w:id="3721" w:name="__UnoMark__6137_1492540610"/>
      <w:bookmarkStart w:id="3722" w:name="__UnoMark__5552_1492540610"/>
      <w:bookmarkStart w:id="3723" w:name="__UnoMark__5750_1443136783"/>
      <w:bookmarkStart w:id="3724" w:name="ZOTERO_BREF_0xgZqGsQd5yS"/>
      <w:bookmarkStart w:id="3725" w:name="__UnoMark__12548_722878254"/>
      <w:bookmarkStart w:id="3726" w:name="__UnoMark__13229_722878254"/>
      <w:bookmarkStart w:id="3727" w:name="__UnoMark__7177_1586897740"/>
      <w:bookmarkStart w:id="3728" w:name="__UnoMark__14983_1661744717"/>
      <w:bookmarkStart w:id="3729" w:name="__UnoMark__15857_1661744717"/>
      <w:bookmarkStart w:id="3730" w:name="__UnoMark__16731_1661744717"/>
      <w:bookmarkStart w:id="3731" w:name="__UnoMark__17622_1661744717"/>
      <w:bookmarkStart w:id="3732" w:name="__UnoMark__17942_1661744717"/>
      <w:bookmarkStart w:id="3733" w:name="__UnoMark__8987_1492540610"/>
      <w:bookmarkStart w:id="3734" w:name="__UnoMark__18518_1880123655"/>
      <w:bookmarkStart w:id="3735" w:name="__UnoMark__17407_1880123655"/>
      <w:bookmarkStart w:id="3736" w:name="__UnoMark__16360_1880123655"/>
      <w:bookmarkStart w:id="3737" w:name="__UnoMark__11017_283745954"/>
      <w:bookmarkStart w:id="3738" w:name="__UnoMark__10736_283745954"/>
      <w:bookmarkStart w:id="3739" w:name="__UnoMark__9640_283745954"/>
      <w:bookmarkStart w:id="3740" w:name="__UnoMark__8819_283745954"/>
      <w:bookmarkStart w:id="3741" w:name="__UnoMark__9466_435217427"/>
      <w:bookmarkStart w:id="3742" w:name="__UnoMark__25387_497913431"/>
      <w:bookmarkStart w:id="3743" w:name="__UnoMark__11880_722878254"/>
      <w:bookmarkStart w:id="3744" w:name="__UnoMark__10816_1492540610"/>
      <w:bookmarkStart w:id="3745" w:name="__UnoMark__11436_1492540610"/>
      <w:bookmarkStart w:id="3746" w:name="__UnoMark__7961_497913431"/>
      <w:bookmarkStart w:id="3747" w:name="__UnoMark__22347_497913431"/>
      <w:bookmarkStart w:id="3748" w:name="__UnoMark__23106_497913431"/>
      <w:bookmarkStart w:id="3749" w:name="__UnoMark__10182_1492540610"/>
      <w:bookmarkStart w:id="3750" w:name="__UnoMark__23810_497913431"/>
      <w:bookmarkStart w:id="3751" w:name="__UnoMark__24526_497913431"/>
      <w:bookmarkStart w:id="3752" w:name="__UnoMark__27323_836371768"/>
      <w:bookmarkStart w:id="3753" w:name="__UnoMark__28468_836371768"/>
      <w:bookmarkStart w:id="3754" w:name="__UnoMark__29642_836371768"/>
      <w:bookmarkStart w:id="3755" w:name="__UnoMark__30803_836371768"/>
      <w:bookmarkStart w:id="3756" w:name="__UnoMark__40793_2025191570"/>
      <w:bookmarkStart w:id="3757" w:name="__UnoMark__42009_2025191570"/>
      <w:bookmarkStart w:id="3758" w:name="__UnoMark__43260_2025191570"/>
      <w:bookmarkStart w:id="3759" w:name="__UnoMark__44520_2025191570"/>
      <w:r>
        <w:rPr>
          <w:color w:val="00000A"/>
          <w:lang w:val="en-US" w:eastAsia="ja-JP"/>
        </w:rPr>
        <w:t>(North, 2006)</w:t>
      </w:r>
      <w:bookmarkStart w:id="3760" w:name="__UnoMark__5937_1443136783"/>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r>
        <w:rPr>
          <w:color w:val="00000A"/>
          <w:lang w:val="en-US" w:eastAsia="ja-JP"/>
        </w:rPr>
        <w:t>.</w:t>
      </w:r>
    </w:p>
    <w:p>
      <w:pPr>
        <w:pStyle w:val="Normal"/>
        <w:rPr/>
      </w:pPr>
      <w:r>
        <w:rPr>
          <w:i/>
          <w:iCs/>
          <w:color w:val="00000A"/>
          <w:lang w:val="en-US" w:eastAsia="ja-JP"/>
        </w:rPr>
        <w:t>(ii) Scoping</w:t>
      </w:r>
      <w:r>
        <w:rPr>
          <w:color w:val="00000A"/>
          <w:lang w:val="en-US" w:eastAsia="ja-JP"/>
        </w:rPr>
        <w:t xml:space="preserve"> is conducted interactively between the client (product owner) and development leaders.  Instead planning out on a horizon of years, interim deliverables are staged in months, weeks or days.  User stories are grouped or broken down, and relative values and efforts are negotiated e.g. as points rather than person-hours.  One technique called planning poker sets up discussions on why one party would see a value or effort so much differently from the other party.  Risks can also identified, and reassessed in subsequent meetings.</w:t>
      </w:r>
    </w:p>
    <w:p>
      <w:pPr>
        <w:pStyle w:val="Normal"/>
        <w:rPr/>
      </w:pPr>
      <w:r>
        <w:rPr>
          <w:i/>
          <w:iCs/>
          <w:color w:val="00000A"/>
          <w:lang w:val="en-US" w:eastAsia="ja-JP"/>
        </w:rPr>
        <w:t>(iii) Reviewing iteratively</w:t>
      </w:r>
      <w:r>
        <w:rPr>
          <w:color w:val="00000A"/>
          <w:lang w:val="en-US" w:eastAsia="ja-JP"/>
        </w:rPr>
        <w:t xml:space="preserve"> is a practice where a project is not allowed to continue for long periods of time without feedback.  Demonstrations are normally scheduled every few weeks with stakeholders to validate progress (or modification) of user stories.  At the end of each sprint, developers have a retrospective to review immediate experiences.  Progress on completing work items in backlog are tracked for velocity, to improve the ability to better estimate effort.  Short stand-up meetings in agile teams are run daily, so that blockers are taken as team issues, and mutual aid amongst peers can be coordinated.</w:t>
      </w:r>
    </w:p>
    <w:p>
      <w:pPr>
        <w:pStyle w:val="Normal"/>
        <w:rPr/>
      </w:pPr>
      <w:r>
        <w:rPr>
          <w:color w:val="00000A"/>
          <w:lang w:val="en-US" w:eastAsia="ja-JP"/>
        </w:rPr>
        <w:t>The largest mindshift from waterfall methods to agile development is admitting that estimates are truly projections with some variability.  Plans are a resource to coordinate action, and commitments should naturally change when uncertainty is high.</w:t>
      </w:r>
    </w:p>
    <w:p>
      <w:pPr>
        <w:pStyle w:val="Normal"/>
        <w:rPr/>
      </w:pPr>
      <w:r>
        <w:rPr>
          <w:color w:val="00000A"/>
          <w:lang w:val="en-US" w:eastAsia="ja-JP"/>
        </w:rPr>
        <w:t xml:space="preserve">Outside of software development, Scrum has been used in product development, operations, research and development, sales and marketing, finance and accounting, and human resources </w:t>
      </w:r>
      <w:bookmarkStart w:id="3761" w:name="__UnoMark__23579_140394355"/>
      <w:bookmarkStart w:id="3762" w:name="__UnoMark__17358_140394355"/>
      <w:bookmarkStart w:id="3763" w:name="__UnoMark__15972_140394355"/>
      <w:bookmarkStart w:id="3764" w:name="__UnoMark__7178_1586897740"/>
      <w:bookmarkStart w:id="3765" w:name="__UnoMark__5553_1492540610"/>
      <w:bookmarkStart w:id="3766" w:name="__UnoMark__4427_1443136783"/>
      <w:bookmarkStart w:id="3767" w:name="__UnoMark__4957_1443136783"/>
      <w:bookmarkStart w:id="3768" w:name="ZOTERO_BREF_otBS6fqpFr3z"/>
      <w:bookmarkStart w:id="3769" w:name="__UnoMark__5810_1443136783"/>
      <w:bookmarkStart w:id="3770" w:name="__UnoMark__11881_722878254"/>
      <w:bookmarkStart w:id="3771" w:name="__UnoMark__12549_722878254"/>
      <w:bookmarkStart w:id="3772" w:name="__UnoMark__13230_722878254"/>
      <w:bookmarkStart w:id="3773" w:name="__UnoMark__14984_1661744717"/>
      <w:bookmarkStart w:id="3774" w:name="__UnoMark__15858_1661744717"/>
      <w:bookmarkStart w:id="3775" w:name="__UnoMark__16732_1661744717"/>
      <w:bookmarkStart w:id="3776" w:name="__UnoMark__17623_1661744717"/>
      <w:bookmarkStart w:id="3777" w:name="__UnoMark__17943_1661744717"/>
      <w:bookmarkStart w:id="3778" w:name="__UnoMark__8988_1492540610"/>
      <w:bookmarkStart w:id="3779" w:name="__UnoMark__6138_1492540610"/>
      <w:bookmarkStart w:id="3780" w:name="__UnoMark__8820_283745954"/>
      <w:bookmarkStart w:id="3781" w:name="__UnoMark__18519_1880123655"/>
      <w:bookmarkStart w:id="3782" w:name="__UnoMark__17408_1880123655"/>
      <w:bookmarkStart w:id="3783" w:name="__UnoMark__16361_1880123655"/>
      <w:bookmarkStart w:id="3784" w:name="__UnoMark__11018_283745954"/>
      <w:bookmarkStart w:id="3785" w:name="__UnoMark__10737_283745954"/>
      <w:bookmarkStart w:id="3786" w:name="__UnoMark__9641_283745954"/>
      <w:bookmarkStart w:id="3787" w:name="__UnoMark__9467_435217427"/>
      <w:bookmarkStart w:id="3788" w:name="__UnoMark__25388_497913431"/>
      <w:bookmarkStart w:id="3789" w:name="__UnoMark__9584_1492540610"/>
      <w:bookmarkStart w:id="3790" w:name="__UnoMark__10183_1492540610"/>
      <w:bookmarkStart w:id="3791" w:name="__UnoMark__10817_1492540610"/>
      <w:bookmarkStart w:id="3792" w:name="__UnoMark__11437_1492540610"/>
      <w:bookmarkStart w:id="3793" w:name="__UnoMark__7962_497913431"/>
      <w:bookmarkStart w:id="3794" w:name="__UnoMark__22348_497913431"/>
      <w:bookmarkStart w:id="3795" w:name="__UnoMark__23107_497913431"/>
      <w:bookmarkStart w:id="3796" w:name="__UnoMark__23811_497913431"/>
      <w:bookmarkStart w:id="3797" w:name="__UnoMark__24527_497913431"/>
      <w:bookmarkStart w:id="3798" w:name="__UnoMark__27324_836371768"/>
      <w:bookmarkStart w:id="3799" w:name="__UnoMark__28469_836371768"/>
      <w:bookmarkStart w:id="3800" w:name="__UnoMark__29643_836371768"/>
      <w:bookmarkStart w:id="3801" w:name="__UnoMark__30804_836371768"/>
      <w:bookmarkStart w:id="3802" w:name="__UnoMark__40794_2025191570"/>
      <w:bookmarkStart w:id="3803" w:name="__UnoMark__42010_2025191570"/>
      <w:bookmarkStart w:id="3804" w:name="__UnoMark__43261_2025191570"/>
      <w:bookmarkStart w:id="3805" w:name="__UnoMark__44521_2025191570"/>
      <w:bookmarkStart w:id="3806" w:name="__UnoMark__4610_1443136783"/>
      <w:bookmarkEnd w:id="3806"/>
      <w:r>
        <w:rPr>
          <w:color w:val="00000A"/>
          <w:lang w:val="en-US" w:eastAsia="ja-JP"/>
        </w:rPr>
        <w:t>(Scrum Alliance, 2015, p. 2)</w:t>
      </w:r>
      <w:bookmarkStart w:id="3807" w:name="__UnoMark__5140_1443136783"/>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7"/>
      <w:r>
        <w:rPr>
          <w:color w:val="00000A"/>
          <w:lang w:val="en-US" w:eastAsia="ja-JP"/>
        </w:rPr>
        <w:t xml:space="preserve">. </w:t>
      </w:r>
    </w:p>
    <w:p>
      <w:pPr>
        <w:pStyle w:val="Heading2"/>
        <w:numPr>
          <w:ilvl w:val="1"/>
          <w:numId w:val="2"/>
        </w:numPr>
        <w:rPr/>
      </w:pPr>
      <w:r>
        <w:rPr>
          <w:lang w:val="en-GB"/>
        </w:rPr>
        <w:t>The challenge of System-B to System-A is similar to waterfall to agile</w:t>
      </w:r>
    </w:p>
    <w:p>
      <w:pPr>
        <w:pStyle w:val="Normal"/>
        <w:rPr/>
      </w:pPr>
      <w:r>
        <w:rPr>
          <w:color w:val="00000A"/>
          <w:lang w:val="en-GB"/>
        </w:rPr>
        <w:t>The shift from System-B to System-A production has some parallels to the shift from waterfall methods to agile.  These are outlined in Table 6.</w:t>
      </w:r>
    </w:p>
    <w:p>
      <w:pPr>
        <w:pStyle w:val="Caption1"/>
        <w:keepNext/>
        <w:rPr/>
      </w:pPr>
      <w:r>
        <w:rPr/>
        <w:t xml:space="preserve">Table </w:t>
      </w:r>
      <w:r>
        <w:rPr/>
        <w:fldChar w:fldCharType="begin"/>
      </w:r>
      <w:r>
        <w:instrText> SEQ Table \* ARABIC </w:instrText>
      </w:r>
      <w:r>
        <w:fldChar w:fldCharType="separate"/>
      </w:r>
      <w:r>
        <w:t>6</w:t>
      </w:r>
      <w:r>
        <w:fldChar w:fldCharType="end"/>
      </w:r>
      <w:r>
        <w:rPr/>
        <w:t>: From System-B to System A, c.f. from waterfall to agile</w:t>
      </w:r>
    </w:p>
    <w:tbl>
      <w:tblPr>
        <w:tblW w:w="9071" w:type="dxa"/>
        <w:jc w:val="left"/>
        <w:tblInd w:w="-2" w:type="dxa"/>
        <w:tblBorders>
          <w:top w:val="single" w:sz="2" w:space="0" w:color="B3B3B3"/>
          <w:left w:val="single" w:sz="2" w:space="0" w:color="B3B3B3"/>
          <w:bottom w:val="single" w:sz="2" w:space="0" w:color="B3B3B3"/>
          <w:insideH w:val="single" w:sz="2" w:space="0" w:color="B3B3B3"/>
        </w:tblBorders>
        <w:tblCellMar>
          <w:top w:w="0" w:type="dxa"/>
          <w:left w:w="-2" w:type="dxa"/>
          <w:bottom w:w="0" w:type="dxa"/>
          <w:right w:w="0" w:type="dxa"/>
        </w:tblCellMar>
      </w:tblPr>
      <w:tblGrid>
        <w:gridCol w:w="1523"/>
        <w:gridCol w:w="2890"/>
        <w:gridCol w:w="127"/>
        <w:gridCol w:w="1923"/>
        <w:gridCol w:w="2608"/>
      </w:tblGrid>
      <w:tr>
        <w:trPr>
          <w:cantSplit w:val="true"/>
        </w:trPr>
        <w:tc>
          <w:tcPr>
            <w:tcW w:w="4413" w:type="dxa"/>
            <w:gridSpan w:val="2"/>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t>From System-B to System-A</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center"/>
              <w:rPr/>
            </w:pPr>
            <w:r>
              <w:rPr/>
            </w:r>
          </w:p>
        </w:tc>
        <w:tc>
          <w:tcPr>
            <w:tcW w:w="4531" w:type="dxa"/>
            <w:gridSpan w:val="2"/>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center"/>
              <w:rPr/>
            </w:pPr>
            <w:r>
              <w:rPr/>
              <w:t>From waterfall methods to agile</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 Pattern language for the community</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From preprogrammed assembly to local adaptation with feedback and correction</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 Writing user stories</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From detailing specifications to conversing on narratives</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(ii) Construction budget</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From overemphasizing tangible aspects to negotiating collective feelings</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t>(ii) Scoping; estimating value,  costs and dates</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t>From projecting and committing to converging on estimates</w:t>
            </w:r>
          </w:p>
        </w:tc>
      </w:tr>
      <w:tr>
        <w:trPr>
          <w:cantSplit w:val="true"/>
        </w:trPr>
        <w:tc>
          <w:tcPr>
            <w:tcW w:w="15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(iii) Reality of the land</w:t>
            </w:r>
          </w:p>
        </w:tc>
        <w:tc>
          <w:tcPr>
            <w:tcW w:w="2890"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pPr>
            <w:r>
              <w:rPr>
                <w:b w:val="false"/>
                <w:bCs w:val="false"/>
              </w:rPr>
              <w:t>From drawing abstract layout plans to adjusting the wholeness on the real site</w:t>
            </w:r>
          </w:p>
        </w:tc>
        <w:tc>
          <w:tcPr>
            <w:tcW w:w="127"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TableContents"/>
              <w:jc w:val="left"/>
              <w:rPr>
                <w:b/>
                <w:b/>
                <w:bCs/>
              </w:rPr>
            </w:pPr>
            <w:r>
              <w:rPr>
                <w:b/>
                <w:bCs/>
              </w:rPr>
            </w:r>
          </w:p>
        </w:tc>
        <w:tc>
          <w:tcPr>
            <w:tcW w:w="1923" w:type="dxa"/>
            <w:tcBorders>
              <w:top w:val="single" w:sz="2" w:space="0" w:color="B3B3B3"/>
              <w:left w:val="single" w:sz="2" w:space="0" w:color="B3B3B3"/>
              <w:bottom w:val="single" w:sz="2" w:space="0" w:color="B3B3B3"/>
              <w:insideH w:val="single" w:sz="2" w:space="0" w:color="B3B3B3"/>
            </w:tcBorders>
            <w:shd w:fill="auto" w:val="clear"/>
            <w:tcMar>
              <w:left w:w="-2" w:type="dxa"/>
            </w:tcMar>
          </w:tcPr>
          <w:p>
            <w:pPr>
              <w:pStyle w:val="Normal"/>
              <w:spacing w:before="0" w:after="200"/>
              <w:jc w:val="left"/>
              <w:rPr/>
            </w:pPr>
            <w:r>
              <w:rPr>
                <w:b w:val="false"/>
                <w:bCs w:val="false"/>
              </w:rPr>
              <w:t>(iii) Reviewing iteratively; tracking work item backlogs</w:t>
            </w:r>
          </w:p>
        </w:tc>
        <w:tc>
          <w:tcPr>
            <w:tcW w:w="2608" w:type="dxa"/>
            <w:tcBorders>
              <w:top w:val="single" w:sz="2" w:space="0" w:color="B3B3B3"/>
              <w:left w:val="single" w:sz="2" w:space="0" w:color="B3B3B3"/>
              <w:bottom w:val="single" w:sz="2" w:space="0" w:color="B3B3B3"/>
              <w:right w:val="single" w:sz="2" w:space="0" w:color="B3B3B3"/>
              <w:insideH w:val="single" w:sz="2" w:space="0" w:color="B3B3B3"/>
              <w:insideV w:val="single" w:sz="2" w:space="0" w:color="B3B3B3"/>
            </w:tcBorders>
            <w:shd w:fill="auto" w:val="clear"/>
            <w:tcMar>
              <w:left w:w="-2" w:type="dxa"/>
            </w:tcMar>
          </w:tcPr>
          <w:p>
            <w:pPr>
              <w:pStyle w:val="TableContents"/>
              <w:jc w:val="left"/>
              <w:rPr/>
            </w:pPr>
            <w:r>
              <w:rPr>
                <w:b w:val="false"/>
                <w:bCs w:val="false"/>
              </w:rPr>
              <w:t>From dividing-and-conquering to collaborating for learning</w:t>
            </w:r>
          </w:p>
        </w:tc>
      </w:tr>
    </w:tbl>
    <w:p>
      <w:pPr>
        <w:pStyle w:val="Normal"/>
        <w:rPr/>
      </w:pPr>
      <w:r>
        <w:rPr>
          <w:color w:val="00000A"/>
          <w:lang w:val="en-US" w:eastAsia="ja-JP"/>
        </w:rPr>
        <w:br/>
        <w:t>The methods have not isomorphic from built environments to service systems, but these parallels line up roughly to life cycle stages.</w:t>
      </w:r>
    </w:p>
    <w:p>
      <w:pPr>
        <w:pStyle w:val="Normal"/>
        <w:rPr/>
      </w:pPr>
      <w:r>
        <w:rPr>
          <w:i/>
          <w:iCs/>
          <w:color w:val="00000A"/>
          <w:lang w:val="en-US" w:eastAsia="ja-JP"/>
        </w:rPr>
        <w:t>(i) Pattern language for the community c.f. Writing user stories</w:t>
      </w:r>
      <w:r>
        <w:rPr>
          <w:color w:val="00000A"/>
          <w:lang w:val="en-US" w:eastAsia="ja-JP"/>
        </w:rPr>
        <w:t>:  Both System-B and agile methods discourage detailed abstracting into specifications.  Interactive engagements between future occupant-dwellers and builder-developers enable an intuitive appreciation of desired collective directions and constraints.</w:t>
      </w:r>
    </w:p>
    <w:p>
      <w:pPr>
        <w:pStyle w:val="Normal"/>
        <w:rPr/>
      </w:pPr>
      <w:r>
        <w:rPr>
          <w:i/>
          <w:iCs/>
          <w:color w:val="00000A"/>
          <w:lang w:val="en-US" w:eastAsia="ja-JP"/>
        </w:rPr>
        <w:t>(ii) Construction budget c.f. Scoping</w:t>
      </w:r>
      <w:r>
        <w:rPr>
          <w:color w:val="00000A"/>
          <w:lang w:val="en-US" w:eastAsia="ja-JP"/>
        </w:rPr>
        <w:t>:  When constraints force decisions, rationality and concreteness are more difficult to argue than intuitions and ambiguities.  Both System-B and agile methods attempt to surface more holistic perspectives, as an alternative to reducing to the lowest common denominator.  Negotiating may lead to more creative options than bargaining as a zero-sum game.</w:t>
      </w:r>
    </w:p>
    <w:p>
      <w:pPr>
        <w:pStyle w:val="Normal"/>
        <w:rPr/>
      </w:pPr>
      <w:r>
        <w:rPr>
          <w:i/>
          <w:iCs/>
          <w:color w:val="00000A"/>
          <w:lang w:val="en-US" w:eastAsia="ja-JP"/>
        </w:rPr>
        <w:t>(iii) Reality of the land c.f. Reviewing iteratively</w:t>
      </w:r>
      <w:r>
        <w:rPr>
          <w:color w:val="00000A"/>
          <w:lang w:val="en-US" w:eastAsia="ja-JP"/>
        </w:rPr>
        <w:t>:  While sketches and mockups can aid in describing a future outcome, the average layman tends the visualize a creation yet-to-be only as extensions from his or her personal experience.  Both System-B and agile methods encourage building a little bit, and then evaluating the progress to date critically for implications yet to come.  Piecemeal development makes small corrections along the way easier, and reduces the cost should the situation call for a reversion to fix a error or defect.</w:t>
      </w:r>
    </w:p>
    <w:p>
      <w:pPr>
        <w:pStyle w:val="Normal"/>
        <w:rPr/>
      </w:pPr>
      <w:r>
        <w:rPr>
          <w:color w:val="00000A"/>
          <w:lang w:val="en-US" w:eastAsia="ja-JP"/>
        </w:rPr>
        <w:t>Since many service systems have significant software components, agile methods are not a foreign idea for a project.  While the waterfall approach originated for mission-critical spacecraft mission where human lives would be at risk, the typical service system development project faces the risks of failure to deliver, either in scope or in time.</w:t>
      </w:r>
    </w:p>
    <w:p>
      <w:pPr>
        <w:pStyle w:val="Heading1"/>
        <w:numPr>
          <w:ilvl w:val="0"/>
          <w:numId w:val="2"/>
        </w:numPr>
        <w:ind w:left="0" w:hanging="0"/>
        <w:rPr/>
      </w:pPr>
      <w:r>
        <w:rPr>
          <w:lang w:val="en-GB"/>
        </w:rPr>
        <w:t>A new format amplifies, rephilosophizes and reinterprets prior doxa</w:t>
      </w:r>
    </w:p>
    <w:p>
      <w:pPr>
        <w:pStyle w:val="Normal"/>
        <w:rPr/>
      </w:pPr>
      <w:r>
        <w:rPr>
          <w:lang w:val="en-US" w:eastAsia="ja-JP"/>
        </w:rPr>
        <w:t>Proposing a pattern language for service systems thinking attempts to take some of the best aspects of Christopher Alexander’s work, reorient it from its original physical domain towards services, and then deprecates some presumptions in the doxa.  These are outlined below as amplifications, rephilosophizations and reinterpretations.</w:t>
      </w:r>
    </w:p>
    <w:p>
      <w:pPr>
        <w:pStyle w:val="Heading2"/>
        <w:numPr>
          <w:ilvl w:val="1"/>
          <w:numId w:val="2"/>
        </w:numPr>
        <w:rPr/>
      </w:pPr>
      <w:r>
        <w:rPr>
          <w:lang w:val="en-GB"/>
        </w:rPr>
        <w:t>Amplifications include shared meaning, systems thinking, method + process</w:t>
      </w:r>
    </w:p>
    <w:p>
      <w:pPr>
        <w:pStyle w:val="Normal"/>
        <w:rPr/>
      </w:pPr>
      <w:r>
        <w:rPr>
          <w:lang w:val="en-GB"/>
        </w:rPr>
        <w:t xml:space="preserve">Many book lovers have </w:t>
      </w:r>
      <w:r>
        <w:rPr>
          <w:i/>
          <w:iCs/>
          <w:lang w:val="en-GB"/>
        </w:rPr>
        <w:t>A Pattern Language</w:t>
      </w:r>
      <w:r>
        <w:rPr>
          <w:lang w:val="en-GB"/>
        </w:rPr>
        <w:t xml:space="preserve"> on the shelves of their personal libraries.  Fewer have </w:t>
      </w:r>
      <w:r>
        <w:rPr>
          <w:i/>
          <w:iCs/>
          <w:lang w:val="en-GB"/>
        </w:rPr>
        <w:t>The Timeless Way of Building</w:t>
      </w:r>
      <w:r>
        <w:rPr>
          <w:lang w:val="en-GB"/>
        </w:rPr>
        <w:t xml:space="preserve">.  Most are too intimidated by the bulk and length of the four volumes of </w:t>
      </w:r>
      <w:r>
        <w:rPr>
          <w:i/>
          <w:iCs/>
          <w:lang w:val="en-GB"/>
        </w:rPr>
        <w:t>The Nature of Order</w:t>
      </w:r>
      <w:r>
        <w:rPr>
          <w:lang w:val="en-GB"/>
        </w:rPr>
        <w:t xml:space="preserve"> to add those to the collection.  Applications of an Alexandrian approach in new domains can attempt to retain the features that have resonated well in built environments.</w:t>
      </w:r>
    </w:p>
    <w:p>
      <w:pPr>
        <w:pStyle w:val="Heading3"/>
        <w:numPr>
          <w:ilvl w:val="2"/>
          <w:numId w:val="2"/>
        </w:numPr>
        <w:rPr/>
      </w:pPr>
      <w:r>
        <w:rPr>
          <w:lang w:val="en-GB"/>
        </w:rPr>
        <w:t>Shared meaning on the situated</w:t>
      </w:r>
    </w:p>
    <w:p>
      <w:pPr>
        <w:pStyle w:val="Normal"/>
        <w:rPr/>
      </w:pPr>
      <w:r>
        <w:rPr>
          <w:color w:val="00000A"/>
          <w:lang w:val="en-GB"/>
        </w:rPr>
        <w:t>One of the challenges in a new field of service systems (science) is that definitional work can be abstract.  Being able to dialogue about aspects of a service system amongst providers, beneficiaries and funders encourages appreciation and coherence of the whole.</w:t>
      </w:r>
    </w:p>
    <w:p>
      <w:pPr>
        <w:pStyle w:val="Quote"/>
        <w:rPr/>
      </w:pPr>
      <w:r>
        <w:rPr>
          <w:b/>
          <w:bCs/>
          <w:color w:val="00000A"/>
          <w:lang w:val="en-GB"/>
        </w:rPr>
        <w:t>So long as the people of society are separated from the language which is being used to shape their buildings, the buildings cannot be alive.</w:t>
      </w:r>
      <w:r>
        <w:rPr>
          <w:color w:val="00000A"/>
          <w:lang w:val="en-GB"/>
        </w:rPr>
        <w:t xml:space="preserve">  If we want a language which is deep and powerful, we can only have it under conditions where thousands of people are using the same language, exploring it, making it deeper all the time </w:t>
      </w:r>
      <w:bookmarkStart w:id="3808" w:name="__UnoMark__23580_140394355"/>
      <w:bookmarkStart w:id="3809" w:name="__UnoMark__17359_140394355"/>
      <w:bookmarkStart w:id="3810" w:name="__UnoMark__15973_140394355"/>
      <w:bookmarkStart w:id="3811" w:name="__UnoMark__10184_1492540610"/>
      <w:bookmarkStart w:id="3812" w:name="__UnoMark__7179_1586897740"/>
      <w:bookmarkStart w:id="3813" w:name="__UnoMark__6139_1492540610"/>
      <w:bookmarkStart w:id="3814" w:name="__UnoMark__5554_1492540610"/>
      <w:bookmarkStart w:id="3815" w:name="ZOTERO_BREF_mTncWpUvAqB0"/>
      <w:bookmarkStart w:id="3816" w:name="__UnoMark__11882_722878254"/>
      <w:bookmarkStart w:id="3817" w:name="__UnoMark__12550_722878254"/>
      <w:bookmarkStart w:id="3818" w:name="__UnoMark__13231_722878254"/>
      <w:bookmarkStart w:id="3819" w:name="__UnoMark__14985_1661744717"/>
      <w:bookmarkStart w:id="3820" w:name="__UnoMark__15859_1661744717"/>
      <w:bookmarkStart w:id="3821" w:name="__UnoMark__16733_1661744717"/>
      <w:bookmarkStart w:id="3822" w:name="__UnoMark__17624_1661744717"/>
      <w:bookmarkStart w:id="3823" w:name="__UnoMark__17944_1661744717"/>
      <w:bookmarkStart w:id="3824" w:name="__UnoMark__9585_1492540610"/>
      <w:bookmarkStart w:id="3825" w:name="__UnoMark__8989_1492540610"/>
      <w:bookmarkStart w:id="3826" w:name="__UnoMark__18520_1880123655"/>
      <w:bookmarkStart w:id="3827" w:name="__UnoMark__17409_1880123655"/>
      <w:bookmarkStart w:id="3828" w:name="__UnoMark__16362_1880123655"/>
      <w:bookmarkStart w:id="3829" w:name="__UnoMark__11019_283745954"/>
      <w:bookmarkStart w:id="3830" w:name="__UnoMark__10738_283745954"/>
      <w:bookmarkStart w:id="3831" w:name="__UnoMark__9642_283745954"/>
      <w:bookmarkStart w:id="3832" w:name="__UnoMark__8821_283745954"/>
      <w:bookmarkStart w:id="3833" w:name="__UnoMark__9468_435217427"/>
      <w:bookmarkStart w:id="3834" w:name="__UnoMark__25389_497913431"/>
      <w:bookmarkStart w:id="3835" w:name="__UnoMark__24528_497913431"/>
      <w:bookmarkStart w:id="3836" w:name="__UnoMark__23812_497913431"/>
      <w:bookmarkStart w:id="3837" w:name="__UnoMark__23108_497913431"/>
      <w:bookmarkStart w:id="3838" w:name="__UnoMark__22349_497913431"/>
      <w:bookmarkStart w:id="3839" w:name="__UnoMark__7963_497913431"/>
      <w:bookmarkStart w:id="3840" w:name="__UnoMark__11438_1492540610"/>
      <w:bookmarkStart w:id="3841" w:name="__UnoMark__10818_1492540610"/>
      <w:bookmarkStart w:id="3842" w:name="__UnoMark__27325_836371768"/>
      <w:bookmarkStart w:id="3843" w:name="__UnoMark__28470_836371768"/>
      <w:bookmarkStart w:id="3844" w:name="__UnoMark__29644_836371768"/>
      <w:bookmarkStart w:id="3845" w:name="__UnoMark__30805_836371768"/>
      <w:bookmarkStart w:id="3846" w:name="__UnoMark__40795_2025191570"/>
      <w:bookmarkStart w:id="3847" w:name="__UnoMark__42011_2025191570"/>
      <w:bookmarkStart w:id="3848" w:name="__UnoMark__43262_2025191570"/>
      <w:bookmarkStart w:id="3849" w:name="__UnoMark__44522_2025191570"/>
      <w:r>
        <w:rPr>
          <w:b w:val="false"/>
          <w:i w:val="false"/>
          <w:caps w:val="false"/>
          <w:smallCaps w:val="false"/>
          <w:color w:val="00000A"/>
          <w:position w:val="0"/>
          <w:sz w:val="22"/>
          <w:sz w:val="22"/>
          <w:u w:val="none"/>
          <w:vertAlign w:val="baseline"/>
          <w:lang w:val="en-GB"/>
        </w:rPr>
        <w:t>(Alexander, 1979, pp. 241</w:t>
      </w:r>
      <w:r>
        <w:rPr>
          <w:b w:val="false"/>
          <w:i w:val="false"/>
          <w:caps w:val="false"/>
          <w:smallCaps w:val="false"/>
          <w:position w:val="0"/>
          <w:sz w:val="22"/>
          <w:sz w:val="22"/>
          <w:u w:val="none"/>
          <w:vertAlign w:val="baseline"/>
        </w:rPr>
        <w:t>–241)</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r>
        <w:rPr>
          <w:color w:val="00000A"/>
          <w:lang w:val="en-GB"/>
        </w:rPr>
        <w:t>.</w:t>
      </w:r>
    </w:p>
    <w:p>
      <w:pPr>
        <w:pStyle w:val="Normal"/>
        <w:rPr/>
      </w:pPr>
      <w:r>
        <w:rPr>
          <w:color w:val="00000A"/>
          <w:lang w:val="en-GB"/>
        </w:rPr>
        <w:t xml:space="preserve">Towards trying to establish a deeper shared meaning, working on the concrete situation improves that ability to make decisions not only on rational facts, but also intuitive judgements.  Abstracting choices into words and drawings can add to ambiguity. </w:t>
      </w:r>
    </w:p>
    <w:p>
      <w:pPr>
        <w:pStyle w:val="Quote"/>
        <w:rPr/>
      </w:pPr>
      <w:r>
        <w:rPr/>
        <w:t xml:space="preserve">The pattern is merely a mental image, which can help to predict those situations where forces will be in harmony, and those in which they won‘t. But the actual forces which will occur in a real situation, although objectively present there, are, in the end unpredictable, because each situation is so complex, and forces may grow, or die, according to subtle variations of circumstance </w:t>
      </w:r>
      <w:bookmarkStart w:id="3850" w:name="__UnoMark__23581_140394355"/>
      <w:bookmarkStart w:id="3851" w:name="__UnoMark__17360_140394355"/>
      <w:bookmarkStart w:id="3852" w:name="__UnoMark__15974_140394355"/>
      <w:bookmarkStart w:id="3853" w:name="__UnoMark__7180_1586897740"/>
      <w:bookmarkStart w:id="3854" w:name="__UnoMark__6140_1492540610"/>
      <w:bookmarkStart w:id="3855" w:name="__UnoMark__5555_1492540610"/>
      <w:bookmarkStart w:id="3856" w:name="ZOTERO_BREF_1n3HeVEpNWnT"/>
      <w:bookmarkStart w:id="3857" w:name="__UnoMark__11883_722878254"/>
      <w:bookmarkStart w:id="3858" w:name="__UnoMark__12551_722878254"/>
      <w:bookmarkStart w:id="3859" w:name="__UnoMark__13232_722878254"/>
      <w:bookmarkStart w:id="3860" w:name="__UnoMark__14986_1661744717"/>
      <w:bookmarkStart w:id="3861" w:name="__UnoMark__15860_1661744717"/>
      <w:bookmarkStart w:id="3862" w:name="__UnoMark__16734_1661744717"/>
      <w:bookmarkStart w:id="3863" w:name="__UnoMark__17625_1661744717"/>
      <w:bookmarkStart w:id="3864" w:name="__UnoMark__17945_1661744717"/>
      <w:bookmarkStart w:id="3865" w:name="__UnoMark__10185_1492540610"/>
      <w:bookmarkStart w:id="3866" w:name="__UnoMark__9586_1492540610"/>
      <w:bookmarkStart w:id="3867" w:name="__UnoMark__8990_1492540610"/>
      <w:bookmarkStart w:id="3868" w:name="__UnoMark__18521_1880123655"/>
      <w:bookmarkStart w:id="3869" w:name="__UnoMark__17410_1880123655"/>
      <w:bookmarkStart w:id="3870" w:name="__UnoMark__16363_1880123655"/>
      <w:bookmarkStart w:id="3871" w:name="__UnoMark__11020_283745954"/>
      <w:bookmarkStart w:id="3872" w:name="__UnoMark__10739_283745954"/>
      <w:bookmarkStart w:id="3873" w:name="__UnoMark__9643_283745954"/>
      <w:bookmarkStart w:id="3874" w:name="__UnoMark__8822_283745954"/>
      <w:bookmarkStart w:id="3875" w:name="__UnoMark__9469_435217427"/>
      <w:bookmarkStart w:id="3876" w:name="__UnoMark__25390_497913431"/>
      <w:bookmarkStart w:id="3877" w:name="__UnoMark__24529_497913431"/>
      <w:bookmarkStart w:id="3878" w:name="__UnoMark__23813_497913431"/>
      <w:bookmarkStart w:id="3879" w:name="__UnoMark__23109_497913431"/>
      <w:bookmarkStart w:id="3880" w:name="__UnoMark__22350_497913431"/>
      <w:bookmarkStart w:id="3881" w:name="__UnoMark__7964_497913431"/>
      <w:bookmarkStart w:id="3882" w:name="__UnoMark__11439_1492540610"/>
      <w:bookmarkStart w:id="3883" w:name="__UnoMark__10819_1492540610"/>
      <w:bookmarkStart w:id="3884" w:name="__UnoMark__27326_836371768"/>
      <w:bookmarkStart w:id="3885" w:name="__UnoMark__28471_836371768"/>
      <w:bookmarkStart w:id="3886" w:name="__UnoMark__29645_836371768"/>
      <w:bookmarkStart w:id="3887" w:name="__UnoMark__30806_836371768"/>
      <w:bookmarkStart w:id="3888" w:name="__UnoMark__40796_2025191570"/>
      <w:bookmarkStart w:id="3889" w:name="__UnoMark__42012_2025191570"/>
      <w:bookmarkStart w:id="3890" w:name="__UnoMark__43263_2025191570"/>
      <w:bookmarkStart w:id="3891" w:name="__UnoMark__44523_2025191570"/>
      <w:r>
        <w:rPr>
          <w:b w:val="false"/>
          <w:i w:val="false"/>
          <w:caps w:val="false"/>
          <w:smallCaps w:val="false"/>
          <w:position w:val="0"/>
          <w:sz w:val="22"/>
          <w:sz w:val="22"/>
          <w:u w:val="none"/>
          <w:vertAlign w:val="baseline"/>
        </w:rPr>
        <w:t>(Alexander, 1979, pp. 285–286)</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r>
        <w:rPr/>
        <w:t>.</w:t>
      </w:r>
    </w:p>
    <w:p>
      <w:pPr>
        <w:pStyle w:val="Normal"/>
        <w:rPr/>
      </w:pPr>
      <w:r>
        <w:rPr>
          <w:color w:val="00000A"/>
          <w:lang w:val="en-GB"/>
        </w:rPr>
        <w:t>In interaction design, pattern language has been proposed as a lingua franca – actually multiple linguae franca (common languages) each used in a domain .</w:t>
      </w:r>
    </w:p>
    <w:p>
      <w:pPr>
        <w:pStyle w:val="Quote"/>
        <w:rPr/>
      </w:pPr>
      <w:r>
        <w:rPr/>
        <w:t xml:space="preserve">Alexander's pattern language has a number of attributes that make it suitable for generating </w:t>
      </w:r>
      <w:r>
        <w:rPr>
          <w:b/>
          <w:bCs/>
        </w:rPr>
        <w:t>lingua francas</w:t>
      </w:r>
      <w:r>
        <w:rPr/>
        <w:t>.</w:t>
      </w:r>
    </w:p>
    <w:p>
      <w:pPr>
        <w:pStyle w:val="Quote"/>
        <w:numPr>
          <w:ilvl w:val="0"/>
          <w:numId w:val="11"/>
        </w:numPr>
        <w:rPr/>
      </w:pPr>
      <w:r>
        <w:rPr>
          <w:b/>
          <w:bCs/>
        </w:rPr>
        <w:t>Concrete Prototypes</w:t>
      </w:r>
      <w:r>
        <w:rPr/>
        <w:t>. Alexandrian patterns are embodied as concrete prototypes rather than abstract principles. Every pattern comes with a name (often sufficient to evoke animage), a picture of an archetype of the pattern, and a diagram of how it is implemented.  [….]  Whereas abstract principles require users of the principles to understand some conceptual framework, and to be able to map the principles onto their domain of concern, the concrete prototypes in pattern languages make direct contact with users' experiences. Anyone who has experience with the situation can begin to understand, discuss, and contest Alexandrian patterns.</w:t>
      </w:r>
    </w:p>
    <w:p>
      <w:pPr>
        <w:pStyle w:val="Quote"/>
        <w:numPr>
          <w:ilvl w:val="0"/>
          <w:numId w:val="11"/>
        </w:numPr>
        <w:rPr/>
      </w:pPr>
      <w:r>
        <w:rPr>
          <w:b/>
          <w:bCs/>
        </w:rPr>
        <w:t>Grounded in the Social</w:t>
      </w:r>
      <w:r>
        <w:rPr/>
        <w:t>. Another characteristic is that the patterns tend to focus on the interactions between the physical form of the built environment and the way in which that inhibits or facilitates various sorts of behavior within it.  [….]  This linkage between the components of design and everyday activity reinforces the concrete, grounded nature of the pattern language.</w:t>
      </w:r>
    </w:p>
    <w:p>
      <w:pPr>
        <w:pStyle w:val="Quote"/>
        <w:numPr>
          <w:ilvl w:val="0"/>
          <w:numId w:val="11"/>
        </w:numPr>
        <w:rPr/>
      </w:pPr>
      <w:r>
        <w:rPr>
          <w:b/>
          <w:bCs/>
        </w:rPr>
        <w:t>Expresses Values</w:t>
      </w:r>
      <w:r>
        <w:rPr/>
        <w:t xml:space="preserve">. Alexander's Pattern Language is not value neutral. [….]  While this aspect of </w:t>
      </w:r>
      <w:r>
        <w:rPr>
          <w:b/>
          <w:bCs/>
        </w:rPr>
        <w:t>A Pattern Language</w:t>
      </w:r>
      <w:r>
        <w:rPr/>
        <w:t xml:space="preserve"> can alarm those who view it as prescriptive—that is, who think it is intended to be </w:t>
      </w:r>
      <w:r>
        <w:rPr>
          <w:b/>
          <w:bCs/>
        </w:rPr>
        <w:t>The</w:t>
      </w:r>
      <w:r>
        <w:rPr/>
        <w:t xml:space="preserve"> pattern language — I see its ability to clearly and explicitly express values as part of its representational power, and as yet another way the language becomes grounded for its users.</w:t>
      </w:r>
    </w:p>
    <w:p>
      <w:pPr>
        <w:pStyle w:val="Quote"/>
        <w:numPr>
          <w:ilvl w:val="0"/>
          <w:numId w:val="11"/>
        </w:numPr>
        <w:rPr/>
      </w:pPr>
      <w:r>
        <w:rPr>
          <w:b/>
          <w:bCs/>
        </w:rPr>
        <w:t>Supports Piecemeal Use</w:t>
      </w:r>
      <w:r>
        <w:rPr/>
        <w:t xml:space="preserve">. Finally, pattern languages are amenable to gradual, piecemeal use. If a pattern language exists for a particular domain, users can begin with just a few patterns and work out from there. If a pattern language is being developed from scratch, it feels natural to start with particular cases and to identify patterns which recur from one case to another. It is easy to imagine identifying a few basic patterns, and then testing and re-testing them as new cases are encountered, creating more general patterns, and defining more particular ones as appropriate </w:t>
      </w:r>
      <w:bookmarkStart w:id="3892" w:name="__UnoMark__23582_140394355"/>
      <w:bookmarkStart w:id="3893" w:name="__UnoMark__17361_140394355"/>
      <w:bookmarkStart w:id="3894" w:name="__UnoMark__15975_140394355"/>
      <w:bookmarkStart w:id="3895" w:name="ZOTERO_BREF_6XZYgjwtnhZu"/>
      <w:bookmarkStart w:id="3896" w:name="__UnoMark__7181_1586897740"/>
      <w:bookmarkStart w:id="3897" w:name="__UnoMark__14987_1661744717"/>
      <w:bookmarkStart w:id="3898" w:name="__UnoMark__15861_1661744717"/>
      <w:bookmarkStart w:id="3899" w:name="__UnoMark__16735_1661744717"/>
      <w:bookmarkStart w:id="3900" w:name="__UnoMark__17626_1661744717"/>
      <w:bookmarkStart w:id="3901" w:name="__UnoMark__17946_1661744717"/>
      <w:bookmarkStart w:id="3902" w:name="__UnoMark__22351_497913431"/>
      <w:bookmarkStart w:id="3903" w:name="__UnoMark__7965_497913431"/>
      <w:bookmarkStart w:id="3904" w:name="__UnoMark__18522_1880123655"/>
      <w:bookmarkStart w:id="3905" w:name="__UnoMark__17411_1880123655"/>
      <w:bookmarkStart w:id="3906" w:name="__UnoMark__16364_1880123655"/>
      <w:bookmarkStart w:id="3907" w:name="__UnoMark__11021_283745954"/>
      <w:bookmarkStart w:id="3908" w:name="__UnoMark__10740_283745954"/>
      <w:bookmarkStart w:id="3909" w:name="__UnoMark__9644_283745954"/>
      <w:bookmarkStart w:id="3910" w:name="__UnoMark__8823_283745954"/>
      <w:bookmarkStart w:id="3911" w:name="__UnoMark__9470_435217427"/>
      <w:bookmarkStart w:id="3912" w:name="__UnoMark__25391_497913431"/>
      <w:bookmarkStart w:id="3913" w:name="__UnoMark__24530_497913431"/>
      <w:bookmarkStart w:id="3914" w:name="__UnoMark__23814_497913431"/>
      <w:bookmarkStart w:id="3915" w:name="__UnoMark__23110_497913431"/>
      <w:bookmarkStart w:id="3916" w:name="__UnoMark__27327_836371768"/>
      <w:bookmarkStart w:id="3917" w:name="__UnoMark__28472_836371768"/>
      <w:bookmarkStart w:id="3918" w:name="__UnoMark__29646_836371768"/>
      <w:bookmarkStart w:id="3919" w:name="__UnoMark__30807_836371768"/>
      <w:bookmarkStart w:id="3920" w:name="__UnoMark__40797_2025191570"/>
      <w:bookmarkStart w:id="3921" w:name="__UnoMark__42013_2025191570"/>
      <w:bookmarkStart w:id="3922" w:name="__UnoMark__43264_2025191570"/>
      <w:bookmarkStart w:id="3923" w:name="__UnoMark__44524_2025191570"/>
      <w:r>
        <w:rPr>
          <w:b w:val="false"/>
          <w:i w:val="false"/>
          <w:caps w:val="false"/>
          <w:smallCaps w:val="false"/>
          <w:position w:val="0"/>
          <w:sz w:val="22"/>
          <w:sz w:val="22"/>
          <w:u w:val="none"/>
          <w:vertAlign w:val="baseline"/>
        </w:rPr>
        <w:t>(Erickson, 2000, pp. 362–363)</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r>
        <w:rPr/>
        <w:t>.</w:t>
      </w:r>
    </w:p>
    <w:p>
      <w:pPr>
        <w:pStyle w:val="Normal"/>
        <w:rPr/>
      </w:pPr>
      <w:r>
        <w:rPr>
          <w:color w:val="00000A"/>
          <w:lang w:val="en-GB"/>
        </w:rPr>
        <w:t>In the above described explorations for interaction design, it was thought that a pattern language "should probably emerge from practice, rather than being imposed from the top down".  Accordingly, developing a pattern language for service systems thinking would emphasize inductive approaches over deductive approaches.</w:t>
      </w:r>
    </w:p>
    <w:p>
      <w:pPr>
        <w:pStyle w:val="Heading3"/>
        <w:numPr>
          <w:ilvl w:val="2"/>
          <w:numId w:val="2"/>
        </w:numPr>
        <w:rPr/>
      </w:pPr>
      <w:r>
        <w:rPr>
          <w:lang w:val="en-GB"/>
        </w:rPr>
        <w:t>Systems thinking and complexity</w:t>
      </w:r>
    </w:p>
    <w:p>
      <w:pPr>
        <w:pStyle w:val="Normal"/>
        <w:rPr/>
      </w:pPr>
      <w:r>
        <w:rPr>
          <w:color w:val="00000A"/>
          <w:lang w:val="en-GB"/>
        </w:rPr>
        <w:t>Research into a science of service systems (or service systems science) has a nuanced difference as compared to service science.  All service systems science is service science; but not all service science is service systems science.  Christopher Alexander brought systems thinking early into his body of work, and embedded the foundations throughout his career.</w:t>
      </w:r>
    </w:p>
    <w:p>
      <w:pPr>
        <w:pStyle w:val="Normal"/>
        <w:rPr/>
      </w:pPr>
      <w:r>
        <w:rPr>
          <w:color w:val="00000A"/>
          <w:lang w:val="en-GB"/>
        </w:rPr>
        <w:t>At the dawn of the work on pattern language, Alexander established the idea of "Systems Generating Systems" that would later be adopted in computational design thinking.</w:t>
      </w:r>
    </w:p>
    <w:p>
      <w:pPr>
        <w:pStyle w:val="Quote"/>
        <w:rPr/>
      </w:pPr>
      <w:r>
        <w:rPr/>
        <w:t xml:space="preserve">1. There are two ideas hidden in the word system: the </w:t>
      </w:r>
      <w:r>
        <w:rPr>
          <w:b/>
          <w:bCs/>
        </w:rPr>
        <w:t>idea of a system as a whole</w:t>
      </w:r>
      <w:r>
        <w:rPr/>
        <w:t xml:space="preserve"> and the idea of a </w:t>
      </w:r>
      <w:r>
        <w:rPr>
          <w:b/>
          <w:bCs/>
        </w:rPr>
        <w:t>generating system</w:t>
      </w:r>
      <w:r>
        <w:rPr/>
        <w:t>.</w:t>
      </w:r>
    </w:p>
    <w:p>
      <w:pPr>
        <w:pStyle w:val="Quote"/>
        <w:rPr/>
      </w:pPr>
      <w:r>
        <w:rPr/>
        <w:t xml:space="preserve">2. A </w:t>
      </w:r>
      <w:r>
        <w:rPr>
          <w:b/>
          <w:bCs/>
        </w:rPr>
        <w:t>system as a whole</w:t>
      </w:r>
      <w:r>
        <w:rPr/>
        <w:t xml:space="preserve"> is not an object but a way of looking at an object. It focuses on some holistic property which can only be understood as a product of interaction among parts.</w:t>
      </w:r>
    </w:p>
    <w:p>
      <w:pPr>
        <w:pStyle w:val="Quote"/>
        <w:rPr/>
      </w:pPr>
      <w:r>
        <w:rPr/>
        <w:t xml:space="preserve">3. A </w:t>
      </w:r>
      <w:r>
        <w:rPr>
          <w:b/>
          <w:bCs/>
        </w:rPr>
        <w:t>generating system</w:t>
      </w:r>
      <w:r>
        <w:rPr/>
        <w:t xml:space="preserve"> is not a view of a single thing. It is a kit of parts, with rules about the way these parts may be combined.</w:t>
      </w:r>
    </w:p>
    <w:p>
      <w:pPr>
        <w:pStyle w:val="Quote"/>
        <w:rPr/>
      </w:pPr>
      <w:r>
        <w:rPr/>
        <w:t>4. Almost every ‘system as a whole’ is generated by a ‘generating system’. If we wish to make things which function as ‘wholes’ we shall have to invent generating systems to create them.</w:t>
      </w:r>
    </w:p>
    <w:p>
      <w:pPr>
        <w:pStyle w:val="Quote"/>
        <w:rPr/>
      </w:pPr>
      <w:r>
        <w:rPr/>
        <w:t xml:space="preserve">In a properly functioning building, the building and the people in it together form a whole: a social, human whole. The building systems which have so far been created do not in this sense generate wholes at all </w:t>
      </w:r>
      <w:bookmarkStart w:id="3924" w:name="__UnoMark__23583_140394355"/>
      <w:bookmarkStart w:id="3925" w:name="__UnoMark__17362_140394355"/>
      <w:bookmarkStart w:id="3926" w:name="__UnoMark__15976_140394355"/>
      <w:bookmarkStart w:id="3927" w:name="ZOTERO_BREF_lrgPnOAmC7NG"/>
      <w:bookmarkStart w:id="3928" w:name="__UnoMark__17947_1661744717"/>
      <w:bookmarkStart w:id="3929" w:name="__UnoMark__17627_1661744717"/>
      <w:bookmarkStart w:id="3930" w:name="__UnoMark__16736_1661744717"/>
      <w:bookmarkStart w:id="3931" w:name="__UnoMark__15862_1661744717"/>
      <w:bookmarkStart w:id="3932" w:name="__UnoMark__7182_1586897740"/>
      <w:bookmarkStart w:id="3933" w:name="__UnoMark__9471_435217427"/>
      <w:bookmarkStart w:id="3934" w:name="__UnoMark__14988_1661744717"/>
      <w:bookmarkStart w:id="3935" w:name="__UnoMark__8824_283745954"/>
      <w:bookmarkStart w:id="3936" w:name="__UnoMark__9645_283745954"/>
      <w:bookmarkStart w:id="3937" w:name="__UnoMark__10741_283745954"/>
      <w:bookmarkStart w:id="3938" w:name="__UnoMark__11022_283745954"/>
      <w:bookmarkStart w:id="3939" w:name="__UnoMark__16365_1880123655"/>
      <w:bookmarkStart w:id="3940" w:name="__UnoMark__17412_1880123655"/>
      <w:bookmarkStart w:id="3941" w:name="__UnoMark__18523_1880123655"/>
      <w:bookmarkStart w:id="3942" w:name="__UnoMark__27328_836371768"/>
      <w:bookmarkStart w:id="3943" w:name="__UnoMark__28473_836371768"/>
      <w:bookmarkStart w:id="3944" w:name="__UnoMark__29647_836371768"/>
      <w:bookmarkStart w:id="3945" w:name="__UnoMark__30808_836371768"/>
      <w:bookmarkStart w:id="3946" w:name="__UnoMark__40798_2025191570"/>
      <w:bookmarkStart w:id="3947" w:name="__UnoMark__42014_2025191570"/>
      <w:bookmarkStart w:id="3948" w:name="__UnoMark__43265_2025191570"/>
      <w:bookmarkStart w:id="3949" w:name="__UnoMark__44525_2025191570"/>
      <w:r>
        <w:rPr>
          <w:i w:val="false"/>
          <w:iCs w:val="false"/>
        </w:rPr>
        <w:t>(Alexander, 1968, p. 605)</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r>
        <w:rPr/>
        <w:t>.</w:t>
      </w:r>
    </w:p>
    <w:p>
      <w:pPr>
        <w:pStyle w:val="Normal"/>
        <w:rPr/>
      </w:pPr>
      <w:r>
        <w:rPr/>
        <w:t>In cross-appropriating pattern language over into software development, the systems thinking foundations of Alexander‘s work became one of the six main tenets of the culture that the early Hillside Group community laid down as the foundations of the pattern discipline.</w:t>
      </w:r>
    </w:p>
    <w:p>
      <w:pPr>
        <w:pStyle w:val="Quote"/>
        <w:rPr/>
      </w:pPr>
      <w:r>
        <w:rPr/>
        <w:t xml:space="preserve">The fourth principle is systems thinking. [….]  Alexander believed in the importance of the Whole, but that a sense of the Whole should come from within ourselves and from experience. We should always be aware of the Whole on which we are working; but we should not project that Whole too far into the future </w:t>
      </w:r>
      <w:bookmarkStart w:id="3950" w:name="__UnoMark__23584_140394355"/>
      <w:bookmarkStart w:id="3951" w:name="__UnoMark__17363_140394355"/>
      <w:bookmarkStart w:id="3952" w:name="__UnoMark__15977_140394355"/>
      <w:bookmarkStart w:id="3953" w:name="__UnoMark__14989_1661744717"/>
      <w:bookmarkStart w:id="3954" w:name="__UnoMark__15863_1661744717"/>
      <w:bookmarkStart w:id="3955" w:name="__UnoMark__16737_1661744717"/>
      <w:bookmarkStart w:id="3956" w:name="__UnoMark__17628_1661744717"/>
      <w:bookmarkStart w:id="3957" w:name="__UnoMark__17948_1661744717"/>
      <w:bookmarkStart w:id="3958" w:name="ZOTERO_BREF_aH5IaANeEN6Q"/>
      <w:bookmarkStart w:id="3959" w:name="__UnoMark__7183_1586897740"/>
      <w:bookmarkStart w:id="3960" w:name="__UnoMark__18524_1880123655"/>
      <w:bookmarkStart w:id="3961" w:name="__UnoMark__17413_1880123655"/>
      <w:bookmarkStart w:id="3962" w:name="__UnoMark__16366_1880123655"/>
      <w:bookmarkStart w:id="3963" w:name="__UnoMark__11023_283745954"/>
      <w:bookmarkStart w:id="3964" w:name="__UnoMark__10742_283745954"/>
      <w:bookmarkStart w:id="3965" w:name="__UnoMark__9646_283745954"/>
      <w:bookmarkStart w:id="3966" w:name="__UnoMark__8825_283745954"/>
      <w:bookmarkStart w:id="3967" w:name="__UnoMark__9472_435217427"/>
      <w:bookmarkStart w:id="3968" w:name="__UnoMark__27329_836371768"/>
      <w:bookmarkStart w:id="3969" w:name="__UnoMark__28474_836371768"/>
      <w:bookmarkStart w:id="3970" w:name="__UnoMark__29648_836371768"/>
      <w:bookmarkStart w:id="3971" w:name="__UnoMark__30809_836371768"/>
      <w:bookmarkStart w:id="3972" w:name="__UnoMark__40799_2025191570"/>
      <w:bookmarkStart w:id="3973" w:name="__UnoMark__42015_2025191570"/>
      <w:bookmarkStart w:id="3974" w:name="__UnoMark__43266_2025191570"/>
      <w:bookmarkStart w:id="3975" w:name="__UnoMark__44526_2025191570"/>
      <w:r>
        <w:rPr>
          <w:i w:val="false"/>
          <w:iCs w:val="false"/>
        </w:rPr>
        <w:t>(Coplien, 2004, p. 10)</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r>
        <w:rPr/>
        <w:t>.</w:t>
      </w:r>
    </w:p>
    <w:p>
      <w:pPr>
        <w:pStyle w:val="Normal"/>
        <w:rPr/>
      </w:pPr>
      <w:r>
        <w:rPr/>
        <w:t xml:space="preserve">These system ideas would later be extended in the writing of </w:t>
      </w:r>
      <w:r>
        <w:rPr>
          <w:i/>
          <w:iCs/>
        </w:rPr>
        <w:t>The Nature of Order</w:t>
      </w:r>
      <w:r>
        <w:rPr/>
        <w:t>, with the turn-of-the-century additional research into complexity science.</w:t>
      </w:r>
    </w:p>
    <w:p>
      <w:pPr>
        <w:pStyle w:val="Quote"/>
        <w:rPr/>
      </w:pPr>
      <w:r>
        <w:rPr/>
        <w:t xml:space="preserve">In a good system, we would expect to find the following conditions: Any identifiable subsystems, we would hope, would be well — that is to say, in good condition. And we would hope that the larger world outside the complex system is also in good order, and well. Thus, the mark of a good system would be that it helps both the systems around it and those which it contains.  And the goodness and helping towards goodness is, in our ideal complex system, also reciprocal.  That is, our good system, will turn out to be not only helping other systems to become good, but also, in turn, helped by the goodness of the larger systems around it and by the goodness of the smaller ones which it contains </w:t>
      </w:r>
      <w:bookmarkStart w:id="3976" w:name="__UnoMark__23585_140394355"/>
      <w:bookmarkStart w:id="3977" w:name="__UnoMark__17364_140394355"/>
      <w:bookmarkStart w:id="3978" w:name="__UnoMark__15978_140394355"/>
      <w:bookmarkStart w:id="3979" w:name="__UnoMark__17949_1661744717"/>
      <w:bookmarkStart w:id="3980" w:name="__UnoMark__17629_1661744717"/>
      <w:bookmarkStart w:id="3981" w:name="__UnoMark__16738_1661744717"/>
      <w:bookmarkStart w:id="3982" w:name="__UnoMark__15864_1661744717"/>
      <w:bookmarkStart w:id="3983" w:name="__UnoMark__14990_1661744717"/>
      <w:bookmarkStart w:id="3984" w:name="ZOTERO_BREF_hHcbG7qiqEjA"/>
      <w:bookmarkStart w:id="3985" w:name="__UnoMark__9473_435217427"/>
      <w:bookmarkStart w:id="3986" w:name="__UnoMark__8826_283745954"/>
      <w:bookmarkStart w:id="3987" w:name="__UnoMark__9647_283745954"/>
      <w:bookmarkStart w:id="3988" w:name="__UnoMark__10743_283745954"/>
      <w:bookmarkStart w:id="3989" w:name="__UnoMark__11024_283745954"/>
      <w:bookmarkStart w:id="3990" w:name="__UnoMark__16367_1880123655"/>
      <w:bookmarkStart w:id="3991" w:name="__UnoMark__17414_1880123655"/>
      <w:bookmarkStart w:id="3992" w:name="__UnoMark__18525_1880123655"/>
      <w:bookmarkStart w:id="3993" w:name="__UnoMark__7184_1586897740"/>
      <w:bookmarkStart w:id="3994" w:name="__UnoMark__27330_836371768"/>
      <w:bookmarkStart w:id="3995" w:name="__UnoMark__28475_836371768"/>
      <w:bookmarkStart w:id="3996" w:name="__UnoMark__29649_836371768"/>
      <w:bookmarkStart w:id="3997" w:name="__UnoMark__30810_836371768"/>
      <w:bookmarkStart w:id="3998" w:name="__UnoMark__40800_2025191570"/>
      <w:bookmarkStart w:id="3999" w:name="__UnoMark__42016_2025191570"/>
      <w:bookmarkStart w:id="4000" w:name="__UnoMark__43267_2025191570"/>
      <w:bookmarkStart w:id="4001" w:name="__UnoMark__44527_2025191570"/>
      <w:r>
        <w:rPr>
          <w:i w:val="false"/>
          <w:iCs w:val="false"/>
        </w:rPr>
        <w:t>(Alexander, 2003, p. 6)</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r>
        <w:rPr/>
        <w:t>.</w:t>
      </w:r>
    </w:p>
    <w:p>
      <w:pPr>
        <w:pStyle w:val="Normal"/>
        <w:rPr/>
      </w:pPr>
      <w:r>
        <w:rPr/>
        <w:t>Approaching services from a perspective of systems thinking brings not only concept of boundary and levels with isomorphies across physical, biological, social and ecological domains, but traditions of interplay between them.</w:t>
      </w:r>
    </w:p>
    <w:p>
      <w:pPr>
        <w:pStyle w:val="Heading3"/>
        <w:numPr>
          <w:ilvl w:val="2"/>
          <w:numId w:val="2"/>
        </w:numPr>
        <w:rPr/>
      </w:pPr>
      <w:r>
        <w:rPr>
          <w:lang w:val="en-GB"/>
        </w:rPr>
        <w:t>Method content + development process</w:t>
      </w:r>
    </w:p>
    <w:p>
      <w:pPr>
        <w:pStyle w:val="Normal"/>
        <w:rPr/>
      </w:pPr>
      <w:r>
        <w:rPr>
          <w:color w:val="00000A"/>
          <w:lang w:val="en-GB"/>
        </w:rPr>
        <w:t xml:space="preserve">Service systems thinking can learn not only from the more famous of Alexander’s works in </w:t>
      </w:r>
      <w:r>
        <w:rPr>
          <w:i/>
          <w:iCs/>
          <w:color w:val="00000A"/>
          <w:lang w:val="en-GB"/>
        </w:rPr>
        <w:t>A Pattern Language</w:t>
      </w:r>
      <w:r>
        <w:rPr>
          <w:color w:val="00000A"/>
          <w:lang w:val="en-GB"/>
        </w:rPr>
        <w:t>, but also the overlooked Volume 1 from the Center for Environmental Structure that was described as the first sentences of the book.</w:t>
      </w:r>
    </w:p>
    <w:p>
      <w:pPr>
        <w:pStyle w:val="Quote"/>
        <w:rPr/>
      </w:pPr>
      <w:r>
        <w:rPr/>
        <w:t xml:space="preserve">Volume 1, The Timeless Way of Building [TWB], and Volume 2, A Pattern Language [APL], are two halves of a single work.  This book [APL] provides a language, for building and planning; the other book [TWB] provides the theory and instructions for the sue of the language.  This book [APL] describes the detailed patterns for towns and neighbourhoods, houses, gardens and rooms.  The other book [TWB] explains the discipline which makes it possible to use these patterns to create a building or a town.  This book [APL] is the sourcebook of the timeless way; the other [TWB] is its practice and its origin </w:t>
      </w:r>
      <w:bookmarkStart w:id="4002" w:name="__UnoMark__23586_140394355"/>
      <w:bookmarkStart w:id="4003" w:name="__UnoMark__17365_140394355"/>
      <w:bookmarkStart w:id="4004" w:name="__UnoMark__15979_140394355"/>
      <w:bookmarkStart w:id="4005" w:name="ZOTERO_BREF_MECNgiEs5pbX"/>
      <w:bookmarkStart w:id="4006" w:name="__UnoMark__17950_1661744717"/>
      <w:bookmarkStart w:id="4007" w:name="__UnoMark__17630_1661744717"/>
      <w:bookmarkStart w:id="4008" w:name="__UnoMark__16739_1661744717"/>
      <w:bookmarkStart w:id="4009" w:name="__UnoMark__14991_1661744717"/>
      <w:bookmarkStart w:id="4010" w:name="__UnoMark__15865_1661744717"/>
      <w:bookmarkStart w:id="4011" w:name="__UnoMark__18526_1880123655"/>
      <w:bookmarkStart w:id="4012" w:name="__UnoMark__17415_1880123655"/>
      <w:bookmarkStart w:id="4013" w:name="__UnoMark__16368_1880123655"/>
      <w:bookmarkStart w:id="4014" w:name="__UnoMark__11025_283745954"/>
      <w:bookmarkStart w:id="4015" w:name="__UnoMark__10744_283745954"/>
      <w:bookmarkStart w:id="4016" w:name="__UnoMark__9648_283745954"/>
      <w:bookmarkStart w:id="4017" w:name="__UnoMark__8827_283745954"/>
      <w:bookmarkStart w:id="4018" w:name="__UnoMark__27331_836371768"/>
      <w:bookmarkStart w:id="4019" w:name="__UnoMark__28476_836371768"/>
      <w:bookmarkStart w:id="4020" w:name="__UnoMark__29650_836371768"/>
      <w:bookmarkStart w:id="4021" w:name="__UnoMark__30811_836371768"/>
      <w:bookmarkStart w:id="4022" w:name="__UnoMark__40801_2025191570"/>
      <w:bookmarkStart w:id="4023" w:name="__UnoMark__42017_2025191570"/>
      <w:bookmarkStart w:id="4024" w:name="__UnoMark__43268_2025191570"/>
      <w:bookmarkStart w:id="4025" w:name="__UnoMark__44528_2025191570"/>
      <w:r>
        <w:rPr/>
        <w:t>(Alexander et al., 1977, p. ix)</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r>
        <w:rPr/>
        <w:t>.</w:t>
      </w:r>
    </w:p>
    <w:p>
      <w:pPr>
        <w:pStyle w:val="Normal"/>
        <w:rPr/>
      </w:pPr>
      <w:r>
        <w:rPr>
          <w:lang w:val="en-GB"/>
        </w:rPr>
        <w:t xml:space="preserve">In professional services, this separation of (i) </w:t>
      </w:r>
      <w:r>
        <w:rPr>
          <w:i/>
          <w:iCs/>
          <w:lang w:val="en-GB"/>
        </w:rPr>
        <w:t>method content</w:t>
      </w:r>
      <w:r>
        <w:rPr>
          <w:lang w:val="en-GB"/>
        </w:rPr>
        <w:t xml:space="preserve"> from (ii) </w:t>
      </w:r>
      <w:r>
        <w:rPr>
          <w:i/>
          <w:iCs/>
          <w:lang w:val="en-GB"/>
        </w:rPr>
        <w:t>development process</w:t>
      </w:r>
      <w:r>
        <w:rPr>
          <w:lang w:val="en-GB"/>
        </w:rPr>
        <w:t xml:space="preserve"> was reflected in way that the IBM Global Services Method separates (i) Work Product Descriptions from (ii) Work Breakdown Structures.</w:t>
      </w:r>
    </w:p>
    <w:p>
      <w:pPr>
        <w:pStyle w:val="Quote"/>
        <w:rPr/>
      </w:pPr>
      <w:r>
        <w:rPr/>
        <w:t>The process framework scheme used by IBM has four main components:</w:t>
      </w:r>
    </w:p>
    <w:p>
      <w:pPr>
        <w:pStyle w:val="Quote"/>
        <w:numPr>
          <w:ilvl w:val="0"/>
          <w:numId w:val="12"/>
        </w:numPr>
        <w:rPr/>
      </w:pPr>
      <w:r>
        <w:rPr/>
        <w:t>Work Product Descriptions, classified by subject matter, with associated dependency diagrams, as described here.</w:t>
      </w:r>
    </w:p>
    <w:p>
      <w:pPr>
        <w:pStyle w:val="Quote"/>
        <w:numPr>
          <w:ilvl w:val="0"/>
          <w:numId w:val="12"/>
        </w:numPr>
        <w:rPr/>
      </w:pPr>
      <w:r>
        <w:rPr/>
        <w:t>Work Breakdown Structures (WBS) describe the temporal structure of a project. A WBS is a skeleton plan, which divides the project into a hierarchical structure of major and minor checkpoints each with exit criteria and a description of the work needed to reach the checkpoint.</w:t>
      </w:r>
    </w:p>
    <w:p>
      <w:pPr>
        <w:pStyle w:val="Quote"/>
        <w:numPr>
          <w:ilvl w:val="0"/>
          <w:numId w:val="12"/>
        </w:numPr>
        <w:rPr/>
      </w:pPr>
      <w:r>
        <w:rPr/>
        <w:t>Roles describe sets of skills. They are associated with WPDs and with elements in the WBS.</w:t>
      </w:r>
    </w:p>
    <w:p>
      <w:pPr>
        <w:pStyle w:val="Quote"/>
        <w:numPr>
          <w:ilvl w:val="0"/>
          <w:numId w:val="12"/>
        </w:numPr>
        <w:rPr/>
      </w:pPr>
      <w:r>
        <w:rPr/>
        <w:t>Techniques are used for detailed guidance on building a work product or group of work products, when the terse summary in the Development Approach section of the WPD is not sufficient. They can differentiate the use of the same WPD in different contexts.</w:t>
      </w:r>
    </w:p>
    <w:p>
      <w:pPr>
        <w:pStyle w:val="Quote"/>
        <w:rPr/>
      </w:pPr>
      <w:r>
        <w:rPr/>
        <w:t xml:space="preserve">Within IBM the term “engagement model” is used for all the material needed to describe a certain class of project. An engagement model consists of a set of WPDs, a WBS, a set of role descriptions, and a set of techniques. </w:t>
      </w:r>
      <w:r>
        <w:rPr>
          <w:lang w:val="en-GB"/>
        </w:rPr>
        <w:t>[...]</w:t>
      </w:r>
    </w:p>
    <w:p>
      <w:pPr>
        <w:pStyle w:val="Quote"/>
        <w:rPr/>
      </w:pPr>
      <w:r>
        <w:rPr>
          <w:lang w:val="en-GB"/>
        </w:rPr>
        <w:t xml:space="preserve">Configuration plays a central role in methods based on WPDs. This represents a psychological shift in the role of method. All too often, deviation from a standard methodology is seen as an imperfection, as an unwelcome compromise (despite the fact it always happens!). This attitude is sometimes encouraged by methodologists who, as a group, are not noted for their flexibility. Instead, adapting to particular circumstances should be the norm, and should be an integral part of any method and of the way it is taught </w:t>
      </w:r>
      <w:bookmarkStart w:id="4026" w:name="__UnoMark__23587_140394355"/>
      <w:bookmarkStart w:id="4027" w:name="__UnoMark__17366_140394355"/>
      <w:bookmarkStart w:id="4028" w:name="__UnoMark__15980_140394355"/>
      <w:bookmarkStart w:id="4029" w:name="__UnoMark__14992_1661744717"/>
      <w:bookmarkStart w:id="4030" w:name="__UnoMark__17951_1661744717"/>
      <w:bookmarkStart w:id="4031" w:name="__UnoMark__17631_1661744717"/>
      <w:bookmarkStart w:id="4032" w:name="__UnoMark__16740_1661744717"/>
      <w:bookmarkStart w:id="4033" w:name="__UnoMark__15866_1661744717"/>
      <w:bookmarkStart w:id="4034" w:name="ZOTERO_BREF_3viD5tAnspuj"/>
      <w:bookmarkStart w:id="4035" w:name="__UnoMark__10745_283745954"/>
      <w:bookmarkStart w:id="4036" w:name="__UnoMark__11026_283745954"/>
      <w:bookmarkStart w:id="4037" w:name="__UnoMark__16369_1880123655"/>
      <w:bookmarkStart w:id="4038" w:name="__UnoMark__17416_1880123655"/>
      <w:bookmarkStart w:id="4039" w:name="__UnoMark__18527_1880123655"/>
      <w:bookmarkStart w:id="4040" w:name="__UnoMark__9580_283745954"/>
      <w:bookmarkStart w:id="4041" w:name="__UnoMark__27332_836371768"/>
      <w:bookmarkStart w:id="4042" w:name="__UnoMark__28477_836371768"/>
      <w:bookmarkStart w:id="4043" w:name="__UnoMark__29651_836371768"/>
      <w:bookmarkStart w:id="4044" w:name="__UnoMark__30812_836371768"/>
      <w:bookmarkStart w:id="4045" w:name="__UnoMark__40802_2025191570"/>
      <w:bookmarkStart w:id="4046" w:name="__UnoMark__42018_2025191570"/>
      <w:bookmarkStart w:id="4047" w:name="__UnoMark__43269_2025191570"/>
      <w:bookmarkStart w:id="4048" w:name="__UnoMark__44529_2025191570"/>
      <w:r>
        <w:rPr>
          <w:lang w:val="en-GB"/>
        </w:rPr>
        <w:t>(Cameron, 2002, p. 74)</w:t>
      </w:r>
      <w:bookmarkStart w:id="4049" w:name="__UnoMark__9860_283745954"/>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r>
        <w:rPr>
          <w:lang w:val="en-GB"/>
        </w:rPr>
        <w:t>.</w:t>
      </w:r>
    </w:p>
    <w:p>
      <w:pPr>
        <w:pStyle w:val="Normal"/>
        <w:rPr/>
      </w:pPr>
      <w:r>
        <w:rPr>
          <w:lang w:val="en-GB"/>
        </w:rPr>
        <w:t>Work product description were rationalized across service lines, so that outputs from management consulting engagements (e.g. on strategy and organization) did not have to be recreated in services delivery engagements (e.g. context and analysis).</w:t>
      </w:r>
    </w:p>
    <w:p>
      <w:pPr>
        <w:pStyle w:val="Normal"/>
        <w:rPr/>
      </w:pPr>
      <w:r>
        <w:rPr>
          <w:lang w:val="en-GB"/>
        </w:rPr>
        <w:t>These methods and processes later became supported with tools.  The design of the Rational Method Composer (RMC) product by IBM enabled two purposes:</w:t>
      </w:r>
    </w:p>
    <w:p>
      <w:pPr>
        <w:pStyle w:val="Quote"/>
        <w:rPr/>
      </w:pPr>
      <w:r>
        <w:rPr/>
        <w:t>1. To provide for development practitioners a knowledge base of intellectual capital that allows them to browse, manage, and deploy content. This content can be licensed, acquired, and, more importantly, accommodates your own content consisting of, for example, method definitions, whitepapers, guidelines, templates, principles, best practices, internal procedures and regulations, training material, and any other general descriptions of how to develop software. This knowledge base can be used for reference and education and forms the basis for developing processes (the second purpose).  [….]</w:t>
      </w:r>
    </w:p>
    <w:p>
      <w:pPr>
        <w:pStyle w:val="Quote"/>
        <w:rPr/>
      </w:pPr>
      <w:r>
        <w:rPr/>
        <w:t>2.  To provide process engineering capabilities by supporting process engineers and project managers in selecting, tailoring, and rapidly assembling processes for their concrete development projects. RMC provides catalogs of predefined processes for typical project situations that can be adapted to individual needs. It also provides process building blocks called capability patterns that represent best development practices for specific disciplines, technologies, or development styles. These building blocks form a toolkit for quickly assembling processes based on project-specific needs ….</w:t>
      </w:r>
    </w:p>
    <w:p>
      <w:pPr>
        <w:pStyle w:val="Quote"/>
        <w:rPr/>
      </w:pPr>
      <w:r>
        <w:rPr>
          <w:rStyle w:val="StrongEmphasis"/>
        </w:rPr>
        <w:t>Method content versus process</w:t>
      </w:r>
    </w:p>
    <w:p>
      <w:pPr>
        <w:pStyle w:val="Quote"/>
        <w:rPr/>
      </w:pPr>
      <w:r>
        <w:rPr/>
        <w:t xml:space="preserve">The most fundamental principle in RMC is the separation of reusable core method content from its application in processes. This directly relates to the two purposes of RMC described in the previous section. Almost all of RMC's other concepts are categorized along this separation, …. Method content describes what is to be produced, the necessary skills required, and the step-by-step explanation describing how specific development goals are achieved. These method content descriptions are independent of a development lifecycle. Processes describe the development lifecycle. They take the method content elements and relate them into semi-ordered sequences that are customized to specific types of projects. </w:t>
      </w:r>
      <w:bookmarkStart w:id="4050" w:name="__UnoMark__23588_140394355"/>
      <w:bookmarkStart w:id="4051" w:name="__UnoMark__17367_140394355"/>
      <w:bookmarkStart w:id="4052" w:name="__UnoMark__15981_140394355"/>
      <w:bookmarkStart w:id="4053" w:name="__UnoMark__17952_1661744717"/>
      <w:bookmarkStart w:id="4054" w:name="__UnoMark__17632_1661744717"/>
      <w:bookmarkStart w:id="4055" w:name="__UnoMark__16741_1661744717"/>
      <w:bookmarkStart w:id="4056" w:name="__UnoMark__15867_1661744717"/>
      <w:bookmarkStart w:id="4057" w:name="ZOTERO_BREF_K8sGTlhn5c8K"/>
      <w:bookmarkStart w:id="4058" w:name="__UnoMark__8757_283745954"/>
      <w:bookmarkStart w:id="4059" w:name="__UnoMark__9649_283745954"/>
      <w:bookmarkStart w:id="4060" w:name="__UnoMark__10746_283745954"/>
      <w:bookmarkStart w:id="4061" w:name="__UnoMark__11027_283745954"/>
      <w:bookmarkStart w:id="4062" w:name="__UnoMark__16370_1880123655"/>
      <w:bookmarkStart w:id="4063" w:name="__UnoMark__17417_1880123655"/>
      <w:bookmarkStart w:id="4064" w:name="__UnoMark__18528_1880123655"/>
      <w:bookmarkStart w:id="4065" w:name="__UnoMark__14993_1661744717"/>
      <w:bookmarkStart w:id="4066" w:name="__UnoMark__27333_836371768"/>
      <w:bookmarkStart w:id="4067" w:name="__UnoMark__28478_836371768"/>
      <w:bookmarkStart w:id="4068" w:name="__UnoMark__29652_836371768"/>
      <w:bookmarkStart w:id="4069" w:name="__UnoMark__30813_836371768"/>
      <w:bookmarkStart w:id="4070" w:name="__UnoMark__40803_2025191570"/>
      <w:bookmarkStart w:id="4071" w:name="__UnoMark__42019_2025191570"/>
      <w:bookmarkStart w:id="4072" w:name="__UnoMark__43270_2025191570"/>
      <w:bookmarkStart w:id="4073" w:name="__UnoMark__44530_2025191570"/>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r>
        <w:rPr>
          <w:i w:val="false"/>
          <w:iCs w:val="false"/>
        </w:rPr>
        <w:t>(Haumer, 2005)</w:t>
      </w:r>
    </w:p>
    <w:p>
      <w:pPr>
        <w:pStyle w:val="Normal"/>
        <w:rPr/>
      </w:pPr>
      <w:r>
        <w:rPr>
          <w:lang w:val="en-GB"/>
        </w:rPr>
        <w:t xml:space="preserve">IBM donated software assets to be relicensed as open sourcing with the Eclipse Process Framework  (EPF) Composer.  The EPF Approach had four parts:  (i) standardize representation and manage libraries of reusable </w:t>
      </w:r>
      <w:r>
        <w:rPr>
          <w:i/>
          <w:iCs/>
          <w:lang w:val="en-GB"/>
        </w:rPr>
        <w:t>method content</w:t>
      </w:r>
      <w:r>
        <w:rPr>
          <w:lang w:val="en-GB"/>
        </w:rPr>
        <w:t xml:space="preserve">; (ii) develop and manage </w:t>
      </w:r>
      <w:r>
        <w:rPr>
          <w:i/>
          <w:iCs/>
          <w:lang w:val="en-GB"/>
        </w:rPr>
        <w:t>processes</w:t>
      </w:r>
      <w:r>
        <w:rPr>
          <w:lang w:val="en-GB"/>
        </w:rPr>
        <w:t xml:space="preserve"> for performing projects; (iii) </w:t>
      </w:r>
      <w:r>
        <w:rPr>
          <w:i/>
          <w:iCs/>
          <w:lang w:val="en-GB"/>
        </w:rPr>
        <w:t>configure</w:t>
      </w:r>
      <w:r>
        <w:rPr>
          <w:lang w:val="en-GB"/>
        </w:rPr>
        <w:t xml:space="preserve"> a cohesive process framework customized for my project needs; and (iv) create project plan templates for </w:t>
      </w:r>
      <w:r>
        <w:rPr>
          <w:i/>
          <w:iCs/>
          <w:lang w:val="en-GB"/>
        </w:rPr>
        <w:t>enactment</w:t>
      </w:r>
      <w:r>
        <w:rPr>
          <w:lang w:val="en-GB"/>
        </w:rPr>
        <w:t xml:space="preserve"> of process in the context of my project  </w:t>
      </w:r>
      <w:bookmarkStart w:id="4074" w:name="__UnoMark__23589_140394355"/>
      <w:bookmarkStart w:id="4075" w:name="__UnoMark__17368_140394355"/>
      <w:bookmarkStart w:id="4076" w:name="__UnoMark__15982_140394355"/>
      <w:bookmarkStart w:id="4077" w:name="__UnoMark__14994_1661744717"/>
      <w:bookmarkStart w:id="4078" w:name="__UnoMark__17953_1661744717"/>
      <w:bookmarkStart w:id="4079" w:name="__UnoMark__17633_1661744717"/>
      <w:bookmarkStart w:id="4080" w:name="__UnoMark__16742_1661744717"/>
      <w:bookmarkStart w:id="4081" w:name="__UnoMark__15868_1661744717"/>
      <w:bookmarkStart w:id="4082" w:name="__UnoMark__8759_283745954"/>
      <w:bookmarkStart w:id="4083" w:name="ZOTERO_BREF_YY8XvpSqWlfa"/>
      <w:bookmarkStart w:id="4084" w:name="__UnoMark__9650_283745954"/>
      <w:bookmarkStart w:id="4085" w:name="__UnoMark__10747_283745954"/>
      <w:bookmarkStart w:id="4086" w:name="__UnoMark__11028_283745954"/>
      <w:bookmarkStart w:id="4087" w:name="__UnoMark__17418_1880123655"/>
      <w:bookmarkStart w:id="4088" w:name="__UnoMark__18529_1880123655"/>
      <w:bookmarkStart w:id="4089" w:name="__UnoMark__16371_1880123655"/>
      <w:bookmarkStart w:id="4090" w:name="__UnoMark__27334_836371768"/>
      <w:bookmarkStart w:id="4091" w:name="__UnoMark__28479_836371768"/>
      <w:bookmarkStart w:id="4092" w:name="__UnoMark__29653_836371768"/>
      <w:bookmarkStart w:id="4093" w:name="__UnoMark__30814_836371768"/>
      <w:bookmarkStart w:id="4094" w:name="__UnoMark__40804_2025191570"/>
      <w:bookmarkStart w:id="4095" w:name="__UnoMark__42020_2025191570"/>
      <w:bookmarkStart w:id="4096" w:name="__UnoMark__43271_2025191570"/>
      <w:bookmarkStart w:id="4097" w:name="__UnoMark__44531_2025191570"/>
      <w:r>
        <w:rPr>
          <w:lang w:val="en-GB"/>
        </w:rPr>
        <w:t>(Haumer, 2007)</w:t>
      </w:r>
      <w:bookmarkStart w:id="4098" w:name="__UnoMark__9035_283745954"/>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r>
        <w:rPr>
          <w:lang w:val="en-GB"/>
        </w:rPr>
        <w:t>.  This would be useful to a service provider who could reuse intellectual capital, rather than reinventing for each new engagement.</w:t>
      </w:r>
    </w:p>
    <w:p>
      <w:pPr>
        <w:pStyle w:val="Normal"/>
        <w:rPr/>
      </w:pPr>
      <w:r>
        <w:rPr>
          <w:color w:val="00000A"/>
          <w:lang w:val="en-GB"/>
        </w:rPr>
        <w:t>Within the pattern language community, the distinction has been clearer between (i) a pattern language generic in a domain, and (ii) the configuring and enactment as project language.</w:t>
      </w:r>
    </w:p>
    <w:p>
      <w:pPr>
        <w:pStyle w:val="Quote"/>
        <w:rPr/>
      </w:pPr>
      <w:r>
        <w:rPr>
          <w:b/>
          <w:bCs/>
          <w:lang w:val="en-GB"/>
        </w:rPr>
        <w:t>Although the pattern language based on typical and common patterns can be used as an approximate solution, a gap occurs between special environment and subject (lack of wholeness).</w:t>
      </w:r>
      <w:r>
        <w:rPr>
          <w:lang w:val="en-GB"/>
        </w:rPr>
        <w:t xml:space="preserve"> [….]  In order to make a project language, use the form of patterns and pattern languages that contains the sets of a name, context, problem, and the solution. By using pattern structure, the ideas of participants can be captured and conveyed clearly and usefully. On one hand, the main purpose of a pattern and a pattern language is sharing an expert's success experience as a common language of a domain. On the other hand, the purpose of a project language is not to share an expert's success experience, but is producing one's own language and designing one's own subject. [… Project] languages can capture and nest – along with borrowed expert patterns – to express the concerns of participants and their understanding of their environment </w:t>
      </w:r>
      <w:bookmarkStart w:id="4099" w:name="__UnoMark__23590_140394355"/>
      <w:bookmarkStart w:id="4100" w:name="__UnoMark__17369_140394355"/>
      <w:bookmarkStart w:id="4101" w:name="__UnoMark__15983_140394355"/>
      <w:bookmarkStart w:id="4102" w:name="__UnoMark__10821_14925406101"/>
      <w:bookmarkStart w:id="4103" w:name="__UnoMark__9588_14925406101"/>
      <w:bookmarkStart w:id="4104" w:name="__UnoMark__8992_14925406101"/>
      <w:bookmarkStart w:id="4105" w:name="__UnoMark__6142_14925406101"/>
      <w:bookmarkStart w:id="4106" w:name="ZOTERO_BREF_twPeah4vve5v1"/>
      <w:bookmarkStart w:id="4107" w:name="__UnoMark__11884_722878254"/>
      <w:bookmarkStart w:id="4108" w:name="__UnoMark__12552_722878254"/>
      <w:bookmarkStart w:id="4109" w:name="__UnoMark__13233_722878254"/>
      <w:bookmarkStart w:id="4110" w:name="__UnoMark__7199_1586897740"/>
      <w:bookmarkStart w:id="4111" w:name="__UnoMark__14995_1661744717"/>
      <w:bookmarkStart w:id="4112" w:name="__UnoMark__16743_1661744717"/>
      <w:bookmarkStart w:id="4113" w:name="__UnoMark__17634_1661744717"/>
      <w:bookmarkStart w:id="4114" w:name="__UnoMark__17954_1661744717"/>
      <w:bookmarkStart w:id="4115" w:name="__UnoMark__10187_14925406101"/>
      <w:bookmarkStart w:id="4116" w:name="__UnoMark__15869_1661744717"/>
      <w:bookmarkStart w:id="4117" w:name="__UnoMark__18530_1880123655"/>
      <w:bookmarkStart w:id="4118" w:name="__UnoMark__17419_1880123655"/>
      <w:bookmarkStart w:id="4119" w:name="__UnoMark__16372_1880123655"/>
      <w:bookmarkStart w:id="4120" w:name="__UnoMark__11029_283745954"/>
      <w:bookmarkStart w:id="4121" w:name="__UnoMark__10748_283745954"/>
      <w:bookmarkStart w:id="4122" w:name="__UnoMark__9666_283745954"/>
      <w:bookmarkStart w:id="4123" w:name="__UnoMark__8843_283745954"/>
      <w:bookmarkStart w:id="4124" w:name="__UnoMark__9487_435217427"/>
      <w:bookmarkStart w:id="4125" w:name="__UnoMark__25392_497913431"/>
      <w:bookmarkStart w:id="4126" w:name="__UnoMark__24531_497913431"/>
      <w:bookmarkStart w:id="4127" w:name="__UnoMark__23815_497913431"/>
      <w:bookmarkStart w:id="4128" w:name="__UnoMark__23111_497913431"/>
      <w:bookmarkStart w:id="4129" w:name="__UnoMark__22352_497913431"/>
      <w:bookmarkStart w:id="4130" w:name="__UnoMark__7966_497913431"/>
      <w:bookmarkStart w:id="4131" w:name="__UnoMark__11441_14925406101"/>
      <w:bookmarkStart w:id="4132" w:name="__UnoMark__27335_836371768"/>
      <w:bookmarkStart w:id="4133" w:name="__UnoMark__28480_836371768"/>
      <w:bookmarkStart w:id="4134" w:name="__UnoMark__29654_836371768"/>
      <w:bookmarkStart w:id="4135" w:name="__UnoMark__30815_836371768"/>
      <w:bookmarkStart w:id="4136" w:name="__UnoMark__40805_2025191570"/>
      <w:bookmarkStart w:id="4137" w:name="__UnoMark__42021_2025191570"/>
      <w:bookmarkStart w:id="4138" w:name="__UnoMark__43272_2025191570"/>
      <w:bookmarkStart w:id="4139" w:name="__UnoMark__44532_2025191570"/>
      <w:bookmarkStart w:id="4140" w:name="__UnoMark__5492_14925406101"/>
      <w:bookmarkEnd w:id="4140"/>
      <w:r>
        <w:rPr>
          <w:lang w:val="en-GB"/>
        </w:rPr>
        <w:t>(Motohashi, Hanyuda, &amp; Nakano, 2013, pp. 2–3)</w:t>
      </w:r>
      <w:bookmarkStart w:id="4141" w:name="__UnoMark__5700_14925406101"/>
      <w:bookmarkStart w:id="4142" w:name="__UnoMark__5688_14925406101"/>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1"/>
      <w:bookmarkEnd w:id="4142"/>
      <w:r>
        <w:rPr>
          <w:lang w:val="en-GB"/>
        </w:rPr>
        <w:t>.</w:t>
      </w:r>
    </w:p>
    <w:p>
      <w:pPr>
        <w:pStyle w:val="Normal"/>
        <w:rPr/>
      </w:pPr>
      <w:r>
        <w:rPr>
          <w:lang w:val="en-GB"/>
        </w:rPr>
        <w:t>A generic pattern language within a domain is equivalent to the catalog of Work Product Descriptions or method content provided as resources for action.  When a development processes includes an initiation with configuration step, a project language becomes an enactment for a specific engagement.</w:t>
      </w:r>
    </w:p>
    <w:p>
      <w:pPr>
        <w:pStyle w:val="Heading2"/>
        <w:numPr>
          <w:ilvl w:val="1"/>
          <w:numId w:val="2"/>
        </w:numPr>
        <w:rPr/>
      </w:pPr>
      <w:r>
        <w:rPr>
          <w:lang w:val="en-GB"/>
        </w:rPr>
        <w:t>Rephilosophizations include alternative stable states, journeying and meshwork</w:t>
      </w:r>
    </w:p>
    <w:p>
      <w:pPr>
        <w:pStyle w:val="Normal"/>
        <w:rPr/>
      </w:pPr>
      <w:r>
        <w:rPr>
          <w:color w:val="00000A"/>
          <w:lang w:val="en-GB"/>
        </w:rPr>
        <w:t>A service system could be completely intangible (e.g. an Internet service), so the physicality of Alexander’s philosophy may not always be appropriate.  Three shifts in philosophy can manifest to dramatically different ways of thinking about the format of a pattern language for a service system.</w:t>
      </w:r>
    </w:p>
    <w:p>
      <w:pPr>
        <w:pStyle w:val="Heading3"/>
        <w:numPr>
          <w:ilvl w:val="2"/>
          <w:numId w:val="2"/>
        </w:numPr>
        <w:rPr/>
      </w:pPr>
      <w:r>
        <w:rPr>
          <w:lang w:val="en-GB"/>
        </w:rPr>
        <w:t>From structuralism to alternative stable states</w:t>
      </w:r>
    </w:p>
    <w:p>
      <w:pPr>
        <w:pStyle w:val="Normal"/>
        <w:rPr/>
      </w:pPr>
      <w:r>
        <w:rPr>
          <w:color w:val="00000A"/>
          <w:lang w:val="en-GB"/>
        </w:rPr>
        <w:t xml:space="preserve">Service systems thinking can benefit from evolutionary concepts from biology, as did some of  Alexander’s ideas on the synthesis of form.  </w:t>
      </w:r>
    </w:p>
    <w:p>
      <w:pPr>
        <w:pStyle w:val="Quote"/>
        <w:rPr/>
      </w:pPr>
      <w:r>
        <w:rPr/>
        <w:t>18.  [….] The language, like a seed, is the genetic system which gives our millions of small acts the power to form a whole.</w:t>
      </w:r>
    </w:p>
    <w:p>
      <w:pPr>
        <w:pStyle w:val="Quote"/>
        <w:rPr/>
      </w:pPr>
      <w:r>
        <w:rPr/>
        <w:t>19. Within this process, every individual act of building is a process in which space gets differentiated.  It is not a process of addition, in which preformed parts are combined to create a whole, but a process of unfolding, like the evolution of an embryo, in which the whole precedes the parts, and actually gives birth to them, by splitting.</w:t>
      </w:r>
    </w:p>
    <w:p>
      <w:pPr>
        <w:pStyle w:val="Quote"/>
        <w:rPr/>
      </w:pPr>
      <w:r>
        <w:rPr/>
        <w:t>20.  The process of unfolding goes step by step, one pattern at a time.  Each step brings just one pattern to life; and the intensity of the result depends on the intensity of each one of these individual steps.</w:t>
      </w:r>
    </w:p>
    <w:p>
      <w:pPr>
        <w:pStyle w:val="Quote"/>
        <w:rPr/>
      </w:pPr>
      <w:r>
        <w:rPr>
          <w:color w:val="00000A"/>
          <w:lang w:val="en-GB"/>
        </w:rPr>
        <w:t xml:space="preserve">21. From the sequence of these individual patterns, whole buildings with the character of nature will form themselves within your thoughts, as easily as sentences </w:t>
      </w:r>
      <w:bookmarkStart w:id="4143" w:name="__UnoMark__23591_140394355"/>
      <w:bookmarkStart w:id="4144" w:name="__UnoMark__17370_140394355"/>
      <w:bookmarkStart w:id="4145" w:name="__UnoMark__15984_140394355"/>
      <w:bookmarkStart w:id="4146" w:name="ZOTERO_BREF_BwWD7UWcuKJP"/>
      <w:bookmarkStart w:id="4147" w:name="__UnoMark__17955_1661744717"/>
      <w:bookmarkStart w:id="4148" w:name="__UnoMark__17635_1661744717"/>
      <w:bookmarkStart w:id="4149" w:name="__UnoMark__16744_1661744717"/>
      <w:bookmarkStart w:id="4150" w:name="__UnoMark__15870_1661744717"/>
      <w:bookmarkStart w:id="4151" w:name="__UnoMark__14996_1661744717"/>
      <w:bookmarkStart w:id="4152" w:name="__UnoMark__18531_1880123655"/>
      <w:bookmarkStart w:id="4153" w:name="__UnoMark__17420_1880123655"/>
      <w:bookmarkStart w:id="4154" w:name="__UnoMark__16373_1880123655"/>
      <w:bookmarkStart w:id="4155" w:name="__UnoMark__8829_283745954"/>
      <w:bookmarkStart w:id="4156" w:name="__UnoMark__9652_283745954"/>
      <w:bookmarkStart w:id="4157" w:name="__UnoMark__10749_283745954"/>
      <w:bookmarkStart w:id="4158" w:name="__UnoMark__11030_283745954"/>
      <w:bookmarkStart w:id="4159" w:name="__UnoMark__27336_836371768"/>
      <w:bookmarkStart w:id="4160" w:name="__UnoMark__28481_836371768"/>
      <w:bookmarkStart w:id="4161" w:name="__UnoMark__29655_836371768"/>
      <w:bookmarkStart w:id="4162" w:name="__UnoMark__30816_836371768"/>
      <w:bookmarkStart w:id="4163" w:name="__UnoMark__40806_2025191570"/>
      <w:bookmarkStart w:id="4164" w:name="__UnoMark__42022_2025191570"/>
      <w:bookmarkStart w:id="4165" w:name="__UnoMark__43273_2025191570"/>
      <w:bookmarkStart w:id="4166" w:name="__UnoMark__44533_2025191570"/>
      <w:bookmarkStart w:id="4167" w:name="__UnoMark__7117_1586897740"/>
      <w:bookmarkEnd w:id="4167"/>
      <w:r>
        <w:rPr>
          <w:b w:val="false"/>
          <w:i w:val="false"/>
          <w:caps w:val="false"/>
          <w:smallCaps w:val="false"/>
          <w:color w:val="00000A"/>
          <w:position w:val="0"/>
          <w:sz w:val="22"/>
          <w:sz w:val="22"/>
          <w:u w:val="none"/>
          <w:vertAlign w:val="baseline"/>
          <w:lang w:val="en-GB"/>
        </w:rPr>
        <w:t>(Alexander, 1979, pp. xiii–iv)</w:t>
      </w:r>
      <w:bookmarkStart w:id="4168" w:name="__UnoMark__7382_1586897740"/>
      <w:bookmarkStart w:id="4169" w:name="__UnoMark__7394_1586897740"/>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8"/>
      <w:bookmarkEnd w:id="4169"/>
      <w:r>
        <w:rPr>
          <w:color w:val="00000A"/>
          <w:lang w:val="en-GB"/>
        </w:rPr>
        <w:t>.</w:t>
      </w:r>
    </w:p>
    <w:p>
      <w:pPr>
        <w:pStyle w:val="Normal"/>
        <w:rPr/>
      </w:pPr>
      <w:r>
        <w:rPr>
          <w:color w:val="00000A"/>
          <w:lang w:val="en-GB"/>
        </w:rPr>
        <w:t>Alexander was a structuralist, but not an idealist, extended from mereology (the philosophy of parts and wholes) while working in phenomenology.</w:t>
      </w:r>
    </w:p>
    <w:p>
      <w:pPr>
        <w:pStyle w:val="Quote"/>
        <w:rPr/>
      </w:pPr>
      <w:r>
        <w:rPr/>
        <w:t xml:space="preserve">… </w:t>
      </w:r>
      <w:r>
        <w:rPr/>
        <w:t>parts are to some important extent part of a previous whole, and their progression to the new whole is not a mere re-assembly but a kind of transformation, that preserves at least a part of the previous structure.</w:t>
      </w:r>
    </w:p>
    <w:p>
      <w:pPr>
        <w:pStyle w:val="Quote"/>
        <w:rPr/>
      </w:pPr>
      <w:r>
        <w:rPr/>
        <w:t xml:space="preserve">This was Alexander’s concept of what he termed “structure-preserving transformations,” a process that creates differentiations and new structures, but that in an important sense, also preserves the structure of the whole that came before </w:t>
      </w:r>
      <w:bookmarkStart w:id="4170" w:name="__UnoMark__23592_140394355"/>
      <w:bookmarkStart w:id="4171" w:name="ZOTERO_BREF_qUTIpilxIehF"/>
      <w:bookmarkStart w:id="4172" w:name="__UnoMark__17371_140394355"/>
      <w:bookmarkStart w:id="4173" w:name="__UnoMark__15985_140394355"/>
      <w:bookmarkStart w:id="4174" w:name="__UnoMark__14997_1661744717"/>
      <w:bookmarkStart w:id="4175" w:name="__UnoMark__10756_1492540610"/>
      <w:bookmarkStart w:id="4176" w:name="__UnoMark__11886_722878254"/>
      <w:bookmarkStart w:id="4177" w:name="__UnoMark__12554_722878254"/>
      <w:bookmarkStart w:id="4178" w:name="__UnoMark__11442_1492540610"/>
      <w:bookmarkStart w:id="4179" w:name="__UnoMark__13235_722878254"/>
      <w:bookmarkStart w:id="4180" w:name="__UnoMark__7187_1586897740"/>
      <w:bookmarkStart w:id="4181" w:name="__UnoMark__15871_1661744717"/>
      <w:bookmarkStart w:id="4182" w:name="__UnoMark__16745_1661744717"/>
      <w:bookmarkStart w:id="4183" w:name="__UnoMark__17636_1661744717"/>
      <w:bookmarkStart w:id="4184" w:name="__UnoMark__17956_1661744717"/>
      <w:bookmarkStart w:id="4185" w:name="__UnoMark__18532_1880123655"/>
      <w:bookmarkStart w:id="4186" w:name="__UnoMark__17421_1880123655"/>
      <w:bookmarkStart w:id="4187" w:name="__UnoMark__16374_1880123655"/>
      <w:bookmarkStart w:id="4188" w:name="__UnoMark__11031_283745954"/>
      <w:bookmarkStart w:id="4189" w:name="__UnoMark__10750_283745954"/>
      <w:bookmarkStart w:id="4190" w:name="__UnoMark__9651_283745954"/>
      <w:bookmarkStart w:id="4191" w:name="__UnoMark__8828_283745954"/>
      <w:bookmarkStart w:id="4192" w:name="__UnoMark__9475_435217427"/>
      <w:bookmarkStart w:id="4193" w:name="__UnoMark__25394_497913431"/>
      <w:bookmarkStart w:id="4194" w:name="__UnoMark__23817_497913431"/>
      <w:bookmarkStart w:id="4195" w:name="__UnoMark__23113_497913431"/>
      <w:bookmarkStart w:id="4196" w:name="__UnoMark__22354_497913431"/>
      <w:bookmarkStart w:id="4197" w:name="__UnoMark__24533_497913431"/>
      <w:bookmarkStart w:id="4198" w:name="__UnoMark__7968_497913431"/>
      <w:bookmarkStart w:id="4199" w:name="__UnoMark__27337_836371768"/>
      <w:bookmarkStart w:id="4200" w:name="__UnoMark__28482_836371768"/>
      <w:bookmarkStart w:id="4201" w:name="__UnoMark__29656_836371768"/>
      <w:bookmarkStart w:id="4202" w:name="__UnoMark__30817_836371768"/>
      <w:bookmarkStart w:id="4203" w:name="__UnoMark__40807_2025191570"/>
      <w:bookmarkStart w:id="4204" w:name="__UnoMark__42023_2025191570"/>
      <w:bookmarkStart w:id="4205" w:name="__UnoMark__43274_2025191570"/>
      <w:bookmarkStart w:id="4206" w:name="__UnoMark__44534_2025191570"/>
      <w:r>
        <w:rPr/>
        <w:t>(Mehaffy, 2010, p. 24)</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r>
        <w:rPr/>
        <w:t>.</w:t>
      </w:r>
    </w:p>
    <w:p>
      <w:pPr>
        <w:pStyle w:val="Normal"/>
        <w:rPr/>
      </w:pPr>
      <w:r>
        <w:rPr/>
        <w:t>The language of biological systems reapplied into urban development brought with it characteristics of living systems.</w:t>
      </w:r>
    </w:p>
    <w:p>
      <w:pPr>
        <w:pStyle w:val="Quote"/>
        <w:rPr/>
      </w:pPr>
      <w:r>
        <w:rPr>
          <w:b/>
          <w:bCs/>
        </w:rPr>
        <w:t>The fact is, that the creation of a town, and the creation of the individuals buildings in a town, is fundamentally a genetic process.</w:t>
      </w:r>
      <w:r>
        <w:rPr/>
        <w:t xml:space="preserve">  No amount of planning or design can replace this genetic process.  And no amount of personal genius can replace it either </w:t>
      </w:r>
      <w:bookmarkStart w:id="4207" w:name="__UnoMark__23593_140394355"/>
      <w:bookmarkStart w:id="4208" w:name="__UnoMark__17372_140394355"/>
      <w:bookmarkStart w:id="4209" w:name="__UnoMark__15986_140394355"/>
      <w:bookmarkStart w:id="4210" w:name="__UnoMark__13234_722878254"/>
      <w:bookmarkStart w:id="4211" w:name="__UnoMark__9587_1492540610"/>
      <w:bookmarkStart w:id="4212" w:name="__UnoMark__8991_1492540610"/>
      <w:bookmarkStart w:id="4213" w:name="__UnoMark__6141_1492540610"/>
      <w:bookmarkStart w:id="4214" w:name="__UnoMark__5556_1492540610"/>
      <w:bookmarkStart w:id="4215" w:name="ZOTERO_BREF_OwoRcP4ibR0o"/>
      <w:bookmarkStart w:id="4216" w:name="__UnoMark__11885_722878254"/>
      <w:bookmarkStart w:id="4217" w:name="__UnoMark__12553_722878254"/>
      <w:bookmarkStart w:id="4218" w:name="__UnoMark__7186_1586897740"/>
      <w:bookmarkStart w:id="4219" w:name="__UnoMark__14998_1661744717"/>
      <w:bookmarkStart w:id="4220" w:name="__UnoMark__15872_1661744717"/>
      <w:bookmarkStart w:id="4221" w:name="__UnoMark__16746_1661744717"/>
      <w:bookmarkStart w:id="4222" w:name="__UnoMark__17637_1661744717"/>
      <w:bookmarkStart w:id="4223" w:name="__UnoMark__17957_1661744717"/>
      <w:bookmarkStart w:id="4224" w:name="__UnoMark__10820_1492540610"/>
      <w:bookmarkStart w:id="4225" w:name="__UnoMark__10186_1492540610"/>
      <w:bookmarkStart w:id="4226" w:name="__UnoMark__24532_497913431"/>
      <w:bookmarkStart w:id="4227" w:name="__UnoMark__18533_1880123655"/>
      <w:bookmarkStart w:id="4228" w:name="__UnoMark__17422_1880123655"/>
      <w:bookmarkStart w:id="4229" w:name="__UnoMark__16375_1880123655"/>
      <w:bookmarkStart w:id="4230" w:name="__UnoMark__11033_283745954"/>
      <w:bookmarkStart w:id="4231" w:name="__UnoMark__10752_283745954"/>
      <w:bookmarkStart w:id="4232" w:name="__UnoMark__9654_283745954"/>
      <w:bookmarkStart w:id="4233" w:name="__UnoMark__8831_283745954"/>
      <w:bookmarkStart w:id="4234" w:name="__UnoMark__9474_435217427"/>
      <w:bookmarkStart w:id="4235" w:name="__UnoMark__11440_1492540610"/>
      <w:bookmarkStart w:id="4236" w:name="__UnoMark__7967_497913431"/>
      <w:bookmarkStart w:id="4237" w:name="__UnoMark__22353_497913431"/>
      <w:bookmarkStart w:id="4238" w:name="__UnoMark__23112_497913431"/>
      <w:bookmarkStart w:id="4239" w:name="__UnoMark__23816_497913431"/>
      <w:bookmarkStart w:id="4240" w:name="__UnoMark__25393_497913431"/>
      <w:bookmarkStart w:id="4241" w:name="__UnoMark__7026_435217427"/>
      <w:bookmarkStart w:id="4242" w:name="__UnoMark__7802_435217427"/>
      <w:bookmarkStart w:id="4243" w:name="__UnoMark__8587_435217427"/>
      <w:bookmarkStart w:id="4244" w:name="__UnoMark__27338_836371768"/>
      <w:bookmarkStart w:id="4245" w:name="__UnoMark__28483_836371768"/>
      <w:bookmarkStart w:id="4246" w:name="__UnoMark__29657_836371768"/>
      <w:bookmarkStart w:id="4247" w:name="__UnoMark__30818_836371768"/>
      <w:bookmarkStart w:id="4248" w:name="__UnoMark__40808_2025191570"/>
      <w:bookmarkStart w:id="4249" w:name="__UnoMark__42024_2025191570"/>
      <w:bookmarkStart w:id="4250" w:name="__UnoMark__43275_2025191570"/>
      <w:bookmarkStart w:id="4251" w:name="__UnoMark__44535_2025191570"/>
      <w:r>
        <w:rPr/>
        <w:t>(Alexander, 1979, p. 240)</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r>
        <w:rPr/>
        <w:t>.</w:t>
      </w:r>
    </w:p>
    <w:p>
      <w:pPr>
        <w:pStyle w:val="Normal"/>
        <w:rPr/>
      </w:pPr>
      <w:r>
        <w:rPr>
          <w:color w:val="00000A"/>
          <w:lang w:val="en-GB"/>
        </w:rPr>
        <w:t>Over 25 years, Alexander’s thinking on pattern language matured from description, through sequencing and unfolding, to codes for implementation.</w:t>
      </w:r>
    </w:p>
    <w:p>
      <w:pPr>
        <w:pStyle w:val="Quote"/>
        <w:rPr/>
      </w:pPr>
      <w:r>
        <w:rPr/>
        <w:t>PATTERN LANGUAGES CAME FIRST, about 1967. There were many pattern languages of various kinds, published. Each pattern language contained a number of patterns, in a rough order going from the largest patterns to the smallest. The pattern language gave a descripiton of a certain kind of environment, by displaying the functional barebones, so that one could be sure that buildings or other environments would at least respond adequately, through their geometry, to the functional needs which were identified in the patterns.</w:t>
      </w:r>
    </w:p>
    <w:p>
      <w:pPr>
        <w:pStyle w:val="Quote"/>
        <w:rPr/>
      </w:pPr>
      <w:r>
        <w:rPr/>
        <w:t>MORPHOGENETIC SEQUENCES, also known just as SEQUENCES CAME SECOND, about 1990. A sequence is a pattern language which places emphasis on the order of unfolding, and gives much more importance to the orderly unfolding, so that by applying the steps in the sequence, in the order specified, a coherent geometric order will unfold, which also contains the patterns and is therefore well behaved as an environment.</w:t>
      </w:r>
    </w:p>
    <w:p>
      <w:pPr>
        <w:pStyle w:val="Quote"/>
        <w:rPr/>
      </w:pPr>
      <w:r>
        <w:rPr/>
        <w:t>GENERATIVE CODES CAME THIRD, and most recently, about 2002. A generative code includes all the information needed for practical implementation: thus it not only describes the order in which decisions must be made, to generate coherent form but in addition describes all the human interactions, and practical and legal and procedural details, to get an actual living neighborhood to appear on the ground, as a result of interactions among the people who live and work there.</w:t>
      </w:r>
    </w:p>
    <w:p>
      <w:pPr>
        <w:pStyle w:val="Quote"/>
        <w:rPr/>
      </w:pPr>
      <w:r>
        <w:rPr>
          <w:b/>
          <w:bCs/>
        </w:rPr>
        <w:t>ALL THREE TYPES MAY BE VIEWED AS GENERATIVE SEQUENCES, but pattern languages and morphogenetic sequences lack essential features of a generative code, and therefore cannot get the practical work done successfully. Human interactions, human relationships, and the roles people need to play together when building a neighborhood, are missing. Yet these are needed to form viable living structure</w:t>
      </w:r>
      <w:r>
        <w:rPr/>
        <w:t xml:space="preserve"> </w:t>
      </w:r>
      <w:bookmarkStart w:id="4252" w:name="__UnoMark__23594_140394355"/>
      <w:bookmarkStart w:id="4253" w:name="__UnoMark__17373_140394355"/>
      <w:bookmarkStart w:id="4254" w:name="__UnoMark__15987_140394355"/>
      <w:bookmarkStart w:id="4255" w:name="__UnoMark__15873_1661744717"/>
      <w:bookmarkStart w:id="4256" w:name="__UnoMark__16747_1661744717"/>
      <w:bookmarkStart w:id="4257" w:name="__UnoMark__17638_1661744717"/>
      <w:bookmarkStart w:id="4258" w:name="__UnoMark__17958_1661744717"/>
      <w:bookmarkStart w:id="4259" w:name="__UnoMark__7185_1586897740"/>
      <w:bookmarkStart w:id="4260" w:name="__UnoMark__14999_1661744717"/>
      <w:bookmarkStart w:id="4261" w:name="__UnoMark__18534_1880123655"/>
      <w:bookmarkStart w:id="4262" w:name="__UnoMark__17423_1880123655"/>
      <w:bookmarkStart w:id="4263" w:name="__UnoMark__16376_1880123655"/>
      <w:bookmarkStart w:id="4264" w:name="__UnoMark__11032_283745954"/>
      <w:bookmarkStart w:id="4265" w:name="__UnoMark__10751_283745954"/>
      <w:bookmarkStart w:id="4266" w:name="__UnoMark__9653_283745954"/>
      <w:bookmarkStart w:id="4267" w:name="__UnoMark__8830_283745954"/>
      <w:bookmarkStart w:id="4268" w:name="ZOTERO_BREF_snaD2WuJRZDy"/>
      <w:bookmarkStart w:id="4269" w:name="__UnoMark__9406_435217427"/>
      <w:bookmarkStart w:id="4270" w:name="__UnoMark__27339_836371768"/>
      <w:bookmarkStart w:id="4271" w:name="__UnoMark__28484_836371768"/>
      <w:bookmarkStart w:id="4272" w:name="__UnoMark__29658_836371768"/>
      <w:bookmarkStart w:id="4273" w:name="__UnoMark__30819_836371768"/>
      <w:bookmarkStart w:id="4274" w:name="__UnoMark__40809_2025191570"/>
      <w:bookmarkStart w:id="4275" w:name="__UnoMark__42025_2025191570"/>
      <w:bookmarkStart w:id="4276" w:name="__UnoMark__43276_2025191570"/>
      <w:bookmarkStart w:id="4277" w:name="__UnoMark__44536_2025191570"/>
      <w:r>
        <w:rPr/>
        <w:t>(Alexander, 2006)</w:t>
      </w:r>
      <w:bookmarkStart w:id="4278" w:name="__UnoMark__9671_435217427"/>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r>
        <w:rPr/>
        <w:t>.</w:t>
      </w:r>
    </w:p>
    <w:p>
      <w:pPr>
        <w:pStyle w:val="Normal"/>
        <w:rPr/>
      </w:pPr>
      <w:r>
        <w:rPr>
          <w:color w:val="00000A"/>
          <w:lang w:val="en-GB"/>
        </w:rPr>
        <w:t xml:space="preserve">Christopher Alexander cites David Bohm’s </w:t>
      </w:r>
      <w:r>
        <w:rPr>
          <w:i/>
          <w:iCs/>
          <w:color w:val="00000A"/>
          <w:lang w:val="en-GB"/>
        </w:rPr>
        <w:t>Wholeness and the Implicate Order</w:t>
      </w:r>
      <w:r>
        <w:rPr>
          <w:color w:val="00000A"/>
          <w:lang w:val="en-GB"/>
        </w:rPr>
        <w:t xml:space="preserve"> in shaping his work, and had a meeting with Bohm in 1986.  On reviewing the conclusion to the four books, “A Modified Structure of the University”, Alexander recalls that Bohm “declared that in his view this material was the most interesting.  ... somehow he thought the conception of matter contained here was the most significant aspect of these books.  It came closer, perhaps, to providing a complement to his own views” </w:t>
      </w:r>
      <w:bookmarkStart w:id="4279" w:name="__UnoMark__23595_140394355"/>
      <w:bookmarkStart w:id="4280" w:name="__UnoMark__17374_140394355"/>
      <w:bookmarkStart w:id="4281" w:name="__UnoMark__15988_140394355"/>
      <w:bookmarkStart w:id="4282" w:name="__UnoMark__15874_1661744717"/>
      <w:bookmarkStart w:id="4283" w:name="__UnoMark__17959_1661744717"/>
      <w:bookmarkStart w:id="4284" w:name="__UnoMark__17639_1661744717"/>
      <w:bookmarkStart w:id="4285" w:name="__UnoMark__16748_1661744717"/>
      <w:bookmarkStart w:id="4286" w:name="__UnoMark__15000_1661744717"/>
      <w:bookmarkStart w:id="4287" w:name="__UnoMark__10676_283745954"/>
      <w:bookmarkStart w:id="4288" w:name="__UnoMark__10957_283745954"/>
      <w:bookmarkStart w:id="4289" w:name="ZOTERO_BREF_fr0OAoGZIyTU"/>
      <w:bookmarkStart w:id="4290" w:name="__UnoMark__16377_1880123655"/>
      <w:bookmarkStart w:id="4291" w:name="__UnoMark__17424_1880123655"/>
      <w:bookmarkStart w:id="4292" w:name="__UnoMark__18535_1880123655"/>
      <w:bookmarkStart w:id="4293" w:name="__UnoMark__27340_836371768"/>
      <w:bookmarkStart w:id="4294" w:name="__UnoMark__28485_836371768"/>
      <w:bookmarkStart w:id="4295" w:name="__UnoMark__29659_836371768"/>
      <w:bookmarkStart w:id="4296" w:name="__UnoMark__30820_836371768"/>
      <w:bookmarkStart w:id="4297" w:name="__UnoMark__40810_2025191570"/>
      <w:bookmarkStart w:id="4298" w:name="__UnoMark__42026_2025191570"/>
      <w:bookmarkStart w:id="4299" w:name="__UnoMark__43277_2025191570"/>
      <w:bookmarkStart w:id="4300" w:name="__UnoMark__44537_2025191570"/>
      <w:r>
        <w:rPr>
          <w:color w:val="00000A"/>
          <w:lang w:val="en-GB"/>
        </w:rPr>
        <w:t>(Alexander, 2004, p. 336)</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r>
        <w:rPr>
          <w:color w:val="00000A"/>
          <w:lang w:val="en-GB"/>
        </w:rPr>
        <w:t>.</w:t>
      </w:r>
      <w:r>
        <w:rPr/>
        <w:t xml:space="preserve"> </w:t>
      </w:r>
    </w:p>
    <w:p>
      <w:pPr>
        <w:pStyle w:val="Quote"/>
        <w:rPr/>
      </w:pPr>
      <w:r>
        <w:rPr>
          <w:color w:val="00000A"/>
          <w:lang w:val="en-GB"/>
        </w:rPr>
        <w:t xml:space="preserve">Alexander’s "generative code" addresses not physical parameters of the built environment, but steps that the participants should take together in laying out and detailing a given structure. Alexander likens it to a recipe, or a medical procedure, in which the steps always follow a logically similar pattern, but the actual actions continuously adapt to the context – the taste and texture of the food in the case of a recipe, or the condition of the patient’s tissues in a medical procedure. But in this case, the "recipe"’ or the "procedure"’ guides the unfolding of environmental form </w:t>
      </w:r>
      <w:bookmarkStart w:id="4301" w:name="__UnoMark__23596_140394355"/>
      <w:bookmarkStart w:id="4302" w:name="ZOTERO_BREF_bchpq49ROWG9"/>
      <w:bookmarkStart w:id="4303" w:name="__UnoMark__17295_140394355"/>
      <w:bookmarkStart w:id="4304" w:name="__UnoMark__15909_140394355"/>
      <w:r>
        <w:rPr>
          <w:color w:val="00000A"/>
          <w:lang w:val="en-GB"/>
        </w:rPr>
        <w:t>(Mehaffy, 2008, p. 69)</w:t>
      </w:r>
      <w:bookmarkStart w:id="4305" w:name="__UnoMark__17844_140394355"/>
      <w:bookmarkEnd w:id="4301"/>
      <w:bookmarkEnd w:id="4302"/>
      <w:bookmarkEnd w:id="4303"/>
      <w:bookmarkEnd w:id="4304"/>
      <w:bookmarkEnd w:id="4305"/>
      <w:r>
        <w:rPr>
          <w:color w:val="00000A"/>
          <w:lang w:val="en-GB"/>
        </w:rPr>
        <w:t>.</w:t>
      </w:r>
    </w:p>
    <w:p>
      <w:pPr>
        <w:pStyle w:val="Normal"/>
        <w:rPr/>
      </w:pPr>
      <w:r>
        <w:rPr>
          <w:color w:val="00000A"/>
          <w:lang w:val="en-GB"/>
        </w:rPr>
        <w:t xml:space="preserve">Alexander’s orientation towards sequences and processes is generally counter to a prevailing philosophy of teleology, the explanation of natural phenomena by their end or purpose.  Of Aristotle’s four causes, teleology emphasizes final cause </w:t>
      </w:r>
      <w:bookmarkStart w:id="4306" w:name="__UnoMark__23597_140394355"/>
      <w:bookmarkStart w:id="4307" w:name="__UnoMark__17375_140394355"/>
      <w:bookmarkStart w:id="4308" w:name="__UnoMark__15989_140394355"/>
      <w:bookmarkStart w:id="4309" w:name="__UnoMark__17960_1661744717"/>
      <w:bookmarkStart w:id="4310" w:name="__UnoMark__17640_1661744717"/>
      <w:bookmarkStart w:id="4311" w:name="__UnoMark__15875_1661744717"/>
      <w:bookmarkStart w:id="4312" w:name="__UnoMark__14920_1661744717"/>
      <w:bookmarkStart w:id="4313" w:name="ZOTERO_BREF_Slt7kjwwjXHv"/>
      <w:bookmarkStart w:id="4314" w:name="__UnoMark__16378_1880123655"/>
      <w:bookmarkStart w:id="4315" w:name="__UnoMark__17425_1880123655"/>
      <w:bookmarkStart w:id="4316" w:name="__UnoMark__18536_1880123655"/>
      <w:bookmarkStart w:id="4317" w:name="__UnoMark__16749_1661744717"/>
      <w:bookmarkStart w:id="4318" w:name="__UnoMark__27341_836371768"/>
      <w:bookmarkStart w:id="4319" w:name="__UnoMark__28486_836371768"/>
      <w:bookmarkStart w:id="4320" w:name="__UnoMark__29660_836371768"/>
      <w:bookmarkStart w:id="4321" w:name="__UnoMark__30821_836371768"/>
      <w:bookmarkStart w:id="4322" w:name="__UnoMark__40811_2025191570"/>
      <w:bookmarkStart w:id="4323" w:name="__UnoMark__42027_2025191570"/>
      <w:bookmarkStart w:id="4324" w:name="__UnoMark__43278_2025191570"/>
      <w:bookmarkStart w:id="4325" w:name="__UnoMark__44538_2025191570"/>
      <w:r>
        <w:rPr>
          <w:color w:val="00000A"/>
          <w:lang w:val="en-GB"/>
        </w:rPr>
        <w:t>(Falcon, 2012)</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r>
        <w:rPr>
          <w:color w:val="00000A"/>
          <w:lang w:val="en-GB"/>
        </w:rPr>
        <w:t xml:space="preserve">.   Putting human will into the foreground, human systems can be described at teleological, with purposeful systems as ideal-seeking and purposive systems as goal-seeking </w:t>
      </w:r>
      <w:bookmarkStart w:id="4326" w:name="__UnoMark__23598_140394355"/>
      <w:bookmarkStart w:id="4327" w:name="__UnoMark__17376_140394355"/>
      <w:bookmarkStart w:id="4328" w:name="__UnoMark__15990_140394355"/>
      <w:bookmarkStart w:id="4329" w:name="__UnoMark__16750_1661744717"/>
      <w:bookmarkStart w:id="4330" w:name="__UnoMark__17961_1661744717"/>
      <w:bookmarkStart w:id="4331" w:name="__UnoMark__17641_1661744717"/>
      <w:bookmarkStart w:id="4332" w:name="__UnoMark__15876_1661744717"/>
      <w:bookmarkStart w:id="4333" w:name="__UnoMark__14921_1661744717"/>
      <w:bookmarkStart w:id="4334" w:name="ZOTERO_BREF_krQrhkh5Yq3y"/>
      <w:bookmarkStart w:id="4335" w:name="__UnoMark__16379_1880123655"/>
      <w:bookmarkStart w:id="4336" w:name="__UnoMark__17426_1880123655"/>
      <w:bookmarkStart w:id="4337" w:name="__UnoMark__18537_1880123655"/>
      <w:bookmarkStart w:id="4338" w:name="__UnoMark__27342_836371768"/>
      <w:bookmarkStart w:id="4339" w:name="__UnoMark__28487_836371768"/>
      <w:bookmarkStart w:id="4340" w:name="__UnoMark__29661_836371768"/>
      <w:bookmarkStart w:id="4341" w:name="__UnoMark__30822_836371768"/>
      <w:bookmarkStart w:id="4342" w:name="__UnoMark__40812_2025191570"/>
      <w:bookmarkStart w:id="4343" w:name="__UnoMark__42028_2025191570"/>
      <w:bookmarkStart w:id="4344" w:name="__UnoMark__43279_2025191570"/>
      <w:bookmarkStart w:id="4345" w:name="__UnoMark__44539_2025191570"/>
      <w:r>
        <w:rPr>
          <w:color w:val="00000A"/>
          <w:lang w:val="en-GB"/>
        </w:rPr>
        <w:t>(Ackoff &amp; Emery, 1972)</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r>
        <w:rPr>
          <w:color w:val="00000A"/>
          <w:lang w:val="en-GB"/>
        </w:rPr>
        <w:t xml:space="preserve">.  From a broader perspective of living systems, however, teleology has been criticized for an inference that the organism would be cognizant of its end design at some future time beyond the foresight horizon </w:t>
      </w:r>
      <w:bookmarkStart w:id="4346" w:name="__UnoMark__23599_140394355"/>
      <w:bookmarkStart w:id="4347" w:name="__UnoMark__17377_140394355"/>
      <w:bookmarkStart w:id="4348" w:name="__UnoMark__15991_140394355"/>
      <w:bookmarkStart w:id="4349" w:name="ZOTERO_BREF_klMJNAcK8F23"/>
      <w:bookmarkStart w:id="4350" w:name="__UnoMark__17962_1661744717"/>
      <w:bookmarkStart w:id="4351" w:name="__UnoMark__17642_1661744717"/>
      <w:bookmarkStart w:id="4352" w:name="__UnoMark__16751_1661744717"/>
      <w:bookmarkStart w:id="4353" w:name="__UnoMark__15877_1661744717"/>
      <w:bookmarkStart w:id="4354" w:name="__UnoMark__14923_1661744717"/>
      <w:bookmarkStart w:id="4355" w:name="__UnoMark__16380_1880123655"/>
      <w:bookmarkStart w:id="4356" w:name="__UnoMark__17427_1880123655"/>
      <w:bookmarkStart w:id="4357" w:name="__UnoMark__18538_1880123655"/>
      <w:bookmarkStart w:id="4358" w:name="__UnoMark__27343_836371768"/>
      <w:bookmarkStart w:id="4359" w:name="__UnoMark__28488_836371768"/>
      <w:bookmarkStart w:id="4360" w:name="__UnoMark__29662_836371768"/>
      <w:bookmarkStart w:id="4361" w:name="__UnoMark__30823_836371768"/>
      <w:bookmarkStart w:id="4362" w:name="__UnoMark__40813_2025191570"/>
      <w:bookmarkStart w:id="4363" w:name="__UnoMark__42029_2025191570"/>
      <w:bookmarkStart w:id="4364" w:name="__UnoMark__43280_2025191570"/>
      <w:bookmarkStart w:id="4365" w:name="__UnoMark__44540_2025191570"/>
      <w:r>
        <w:rPr>
          <w:color w:val="00000A"/>
          <w:lang w:val="en-GB"/>
        </w:rPr>
        <w:t>(Mayr, 1988a)</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r>
        <w:rPr>
          <w:color w:val="00000A"/>
          <w:lang w:val="en-GB"/>
        </w:rPr>
        <w:t>.</w:t>
      </w:r>
    </w:p>
    <w:p>
      <w:pPr>
        <w:pStyle w:val="Normal"/>
        <w:rPr/>
      </w:pPr>
      <w:r>
        <w:rPr>
          <w:color w:val="00000A"/>
          <w:lang w:val="en-GB"/>
        </w:rPr>
        <w:t xml:space="preserve">Theories of biological evolution recognize three types of change:   (i) environmental change; (ii) somatic (cellular) change; and (iii) genotypic change </w:t>
      </w:r>
      <w:bookmarkStart w:id="4366" w:name="__UnoMark__23600_140394355"/>
      <w:bookmarkStart w:id="4367" w:name="__UnoMark__17378_140394355"/>
      <w:bookmarkStart w:id="4368" w:name="__UnoMark__15992_140394355"/>
      <w:bookmarkStart w:id="4369" w:name="__UnoMark__17963_1661744717"/>
      <w:bookmarkStart w:id="4370" w:name="__UnoMark__17643_1661744717"/>
      <w:bookmarkStart w:id="4371" w:name="ZOTERO_BREF_hOoaiJK7xWu7"/>
      <w:bookmarkStart w:id="4372" w:name="__UnoMark__15797_1661744717"/>
      <w:bookmarkStart w:id="4373" w:name="__UnoMark__16381_1880123655"/>
      <w:bookmarkStart w:id="4374" w:name="__UnoMark__17428_1880123655"/>
      <w:bookmarkStart w:id="4375" w:name="__UnoMark__18539_1880123655"/>
      <w:bookmarkStart w:id="4376" w:name="__UnoMark__16752_1661744717"/>
      <w:bookmarkStart w:id="4377" w:name="__UnoMark__27344_836371768"/>
      <w:bookmarkStart w:id="4378" w:name="__UnoMark__28489_836371768"/>
      <w:bookmarkStart w:id="4379" w:name="__UnoMark__29663_836371768"/>
      <w:bookmarkStart w:id="4380" w:name="__UnoMark__30824_836371768"/>
      <w:bookmarkStart w:id="4381" w:name="__UnoMark__40814_2025191570"/>
      <w:bookmarkStart w:id="4382" w:name="__UnoMark__42030_2025191570"/>
      <w:bookmarkStart w:id="4383" w:name="__UnoMark__43281_2025191570"/>
      <w:bookmarkStart w:id="4384" w:name="__UnoMark__44541_2025191570"/>
      <w:r>
        <w:rPr>
          <w:color w:val="00000A"/>
          <w:lang w:val="en-GB"/>
        </w:rPr>
        <w:t>(Bateson, 1963)</w:t>
      </w:r>
      <w:bookmarkStart w:id="4385" w:name="__UnoMark__16092_1661744717"/>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r>
        <w:rPr>
          <w:color w:val="00000A"/>
          <w:lang w:val="en-GB"/>
        </w:rPr>
        <w:t xml:space="preserve">.  These three types are illustrated in an example of a person accustomed to sea level atmospheres being moved up to high altitudes, resulting in an elevated heart rate and panting.  An environmental change would see the person descending from altitude, so that symptoms of stress would immediately reverse.  A somatic change would see the person’s body acclimatizing to the thinner atmosphere, with multiple organs attaining homoeostasis by responding to or increasing the overall flexibility of the organism.  A genotypic change could occur over generations of people living at high altitudes, where natural selection assimilates acquired characteristics. </w:t>
      </w:r>
    </w:p>
    <w:p>
      <w:pPr>
        <w:pStyle w:val="Normal"/>
        <w:rPr/>
      </w:pPr>
      <w:r>
        <w:rPr>
          <w:color w:val="00000A"/>
          <w:lang w:val="en-GB"/>
        </w:rPr>
        <w:t xml:space="preserve">Teleonomy has been defined specifically for goal-directed processes in organisms.  A teleonomic process or behavior is one which owes its goal-directedness to the operation of a program </w:t>
      </w:r>
      <w:bookmarkStart w:id="4386" w:name="__UnoMark__23601_140394355"/>
      <w:bookmarkStart w:id="4387" w:name="__UnoMark__17379_140394355"/>
      <w:bookmarkStart w:id="4388" w:name="__UnoMark__15993_140394355"/>
      <w:bookmarkStart w:id="4389" w:name="ZOTERO_BREF_QOTLcVXsJ5gt"/>
      <w:bookmarkStart w:id="4390" w:name="__UnoMark__17964_1661744717"/>
      <w:bookmarkStart w:id="4391" w:name="__UnoMark__17560_1661744717"/>
      <w:bookmarkStart w:id="4392" w:name="__UnoMark__16671_1661744717"/>
      <w:bookmarkStart w:id="4393" w:name="__UnoMark__16382_1880123655"/>
      <w:bookmarkStart w:id="4394" w:name="__UnoMark__17429_1880123655"/>
      <w:bookmarkStart w:id="4395" w:name="__UnoMark__18540_1880123655"/>
      <w:bookmarkStart w:id="4396" w:name="__UnoMark__27345_836371768"/>
      <w:bookmarkStart w:id="4397" w:name="__UnoMark__28490_836371768"/>
      <w:bookmarkStart w:id="4398" w:name="__UnoMark__29664_836371768"/>
      <w:bookmarkStart w:id="4399" w:name="__UnoMark__30825_836371768"/>
      <w:bookmarkStart w:id="4400" w:name="__UnoMark__40815_2025191570"/>
      <w:bookmarkStart w:id="4401" w:name="__UnoMark__42031_2025191570"/>
      <w:bookmarkStart w:id="4402" w:name="__UnoMark__43282_2025191570"/>
      <w:bookmarkStart w:id="4403" w:name="__UnoMark__44542_2025191570"/>
      <w:r>
        <w:rPr>
          <w:color w:val="00000A"/>
          <w:lang w:val="en-GB"/>
        </w:rPr>
        <w:t>(Mayr, 1988b)</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r>
        <w:rPr>
          <w:color w:val="00000A"/>
          <w:lang w:val="en-GB"/>
        </w:rPr>
        <w:t>.  Goal direction is implied, but with a dynamic process rather than a static condition.  The program may originate through lucky macromutation, a slow process of gradual selection, or even through individual learning or condition as in open programs.  A program might be defined as coded or prearranged information that controls a process (or behavior) leading it toward a given end</w:t>
      </w:r>
      <w:bookmarkStart w:id="4404" w:name="__UnoMark__17562_1661744717"/>
      <w:bookmarkEnd w:id="4404"/>
      <w:r>
        <w:rPr>
          <w:color w:val="00000A"/>
          <w:lang w:val="en-GB"/>
        </w:rPr>
        <w:t>.  Teleonomic processes can be controlled by closed programs (e.g. in the DNA of the genotype) or open programs (e.g. incorporating additional information acquired through learning, conditioning, or experiences).</w:t>
      </w:r>
    </w:p>
    <w:p>
      <w:pPr>
        <w:pStyle w:val="Normal"/>
        <w:rPr/>
      </w:pPr>
      <w:r>
        <w:rPr>
          <w:color w:val="00000A"/>
          <w:lang w:val="en-GB"/>
        </w:rPr>
        <w:t xml:space="preserve">Service systems are interactive between providers and customers, with the relation changing over time in their mutual environment.  The shared direction(s) may be better represented by a theory of alternative stable states.   Research into regime shifts have been influenced by two heritage research streams from ecology </w:t>
      </w:r>
      <w:bookmarkStart w:id="4405" w:name="__UnoMark__23602_140394355"/>
      <w:bookmarkStart w:id="4406" w:name="__UnoMark__17380_140394355"/>
      <w:bookmarkStart w:id="4407" w:name="__UnoMark__15994_140394355"/>
      <w:bookmarkStart w:id="4408" w:name="__UnoMark__18541_1880123655"/>
      <w:bookmarkStart w:id="4409" w:name="__UnoMark__17430_1880123655"/>
      <w:bookmarkStart w:id="4410" w:name="__UnoMark__16383_1880123655"/>
      <w:bookmarkStart w:id="4411" w:name="__UnoMark__17882_1661744717"/>
      <w:bookmarkStart w:id="4412" w:name="ZOTERO_BREF_ViaFvcAzQJx2"/>
      <w:bookmarkStart w:id="4413" w:name="__UnoMark__27346_836371768"/>
      <w:bookmarkStart w:id="4414" w:name="__UnoMark__28491_836371768"/>
      <w:bookmarkStart w:id="4415" w:name="__UnoMark__29665_836371768"/>
      <w:bookmarkStart w:id="4416" w:name="__UnoMark__30826_836371768"/>
      <w:bookmarkStart w:id="4417" w:name="__UnoMark__40816_2025191570"/>
      <w:bookmarkStart w:id="4418" w:name="__UnoMark__42032_2025191570"/>
      <w:bookmarkStart w:id="4419" w:name="__UnoMark__43283_2025191570"/>
      <w:bookmarkStart w:id="4420" w:name="__UnoMark__44543_2025191570"/>
      <w:r>
        <w:rPr>
          <w:color w:val="00000A"/>
          <w:lang w:val="en-GB"/>
        </w:rPr>
        <w:t>(Beisner, Haydon, &amp; Cuddington, 2003)</w:t>
      </w:r>
      <w:bookmarkStart w:id="4421" w:name="__UnoMark__18183_1661744717"/>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r>
        <w:rPr>
          <w:color w:val="00000A"/>
          <w:lang w:val="en-GB"/>
        </w:rPr>
        <w:t xml:space="preserve">.  </w:t>
      </w:r>
    </w:p>
    <w:p>
      <w:pPr>
        <w:pStyle w:val="Normal"/>
        <w:rPr/>
      </w:pPr>
      <w:r>
        <w:rPr>
          <w:i/>
          <w:iCs/>
          <w:color w:val="00000A"/>
          <w:lang w:val="en-GB"/>
        </w:rPr>
        <w:t>Ecosystem ecologists</w:t>
      </w:r>
      <w:r>
        <w:rPr>
          <w:color w:val="00000A"/>
          <w:lang w:val="en-GB"/>
        </w:rPr>
        <w:t xml:space="preserve"> commonly depict stable states with ball-in-cup diagrams, where (at least) two basins are available in which the ball can rest.  A small perturbation may move the ball within the basin, retaining its current stable state.  A large perturbation may move the ball out into another basin, into a new stable state.  Having become stable in the new state, a reverse perturbation may or may not result in a return to the original stable state.</w:t>
      </w:r>
    </w:p>
    <w:p>
      <w:pPr>
        <w:pStyle w:val="Normal"/>
        <w:rPr/>
      </w:pPr>
      <w:r>
        <w:rPr>
          <w:i/>
          <w:iCs/>
          <w:color w:val="00000A"/>
          <w:lang w:val="en-GB"/>
        </w:rPr>
        <w:t>Community ecologists</w:t>
      </w:r>
      <w:r>
        <w:rPr>
          <w:color w:val="00000A"/>
          <w:lang w:val="en-GB"/>
        </w:rPr>
        <w:t xml:space="preserve"> focus on changes in state variables (e.g. population densities).  As an example in fish population, there may be one stable state where harvesting is supported by a high birth rate, and then an alternative stable state where harvesting is not supported due to the dominant death rate.  There’s a boundary middle ground where the state is not stable.</w:t>
      </w:r>
    </w:p>
    <w:p>
      <w:pPr>
        <w:pStyle w:val="Normal"/>
        <w:rPr>
          <w:color w:val="00000A"/>
          <w:lang w:val="en-GB"/>
        </w:rPr>
      </w:pPr>
      <w:r>
        <w:rPr>
          <w:color w:val="00000A"/>
          <w:lang w:val="en-GB"/>
        </w:rPr>
        <w:t>The theory of alternative stable states is a foundation for panarchy and resilience science.  In panarchy, social ecological systems exist and function at multiple scales of time, space and social organization in nested hierarchies.  Resilience science is associated with adaptive capacity in the ecosystem to deal (or not deal) with changes in the environment.  With alternative stable states, research into regime shifts – as large, abrupt, persistent changes in the structure and function of system – is being conducted on a wide variety of domains.</w:t>
      </w:r>
    </w:p>
    <w:p>
      <w:pPr>
        <w:pStyle w:val="Normal"/>
        <w:rPr/>
      </w:pPr>
      <w:r>
        <w:rPr>
          <w:color w:val="00000A"/>
          <w:lang w:val="en-GB"/>
        </w:rPr>
        <w:t>Service systems are generally associated with relations between parties persisting over time.  While a service could be provided transactionally on an instance-by-instance basis, establishing trust amongst parties reduces search effort and cost.  Thus, relations in a market (or business ecosystem) is likely to remain stable over some periods, until a change in the shared environment or the internals of one party leads to a regime shift.</w:t>
      </w:r>
    </w:p>
    <w:p>
      <w:pPr>
        <w:pStyle w:val="Heading3"/>
        <w:numPr>
          <w:ilvl w:val="2"/>
          <w:numId w:val="2"/>
        </w:numPr>
        <w:rPr/>
      </w:pPr>
      <w:r>
        <w:rPr>
          <w:lang w:val="en-GB"/>
        </w:rPr>
        <w:t>From dwelling to journeying</w:t>
      </w:r>
    </w:p>
    <w:p>
      <w:pPr>
        <w:pStyle w:val="Normal"/>
        <w:rPr/>
      </w:pPr>
      <w:r>
        <w:rPr>
          <w:color w:val="00000A"/>
          <w:lang w:val="en-GB"/>
        </w:rPr>
        <w:t>The experience of a service system and the experience of a built environment can both be approached phenomenologically.  Compatibility has been been observed in Martin  Heidegger’s notion of dwelling with subsequent work of Christopher Alexander and Thomas Thiis-Evensen.</w:t>
      </w:r>
    </w:p>
    <w:p>
      <w:pPr>
        <w:pStyle w:val="Quote"/>
        <w:rPr/>
      </w:pPr>
      <w:r>
        <w:rPr/>
        <w:t>In "Building Dwelling Thinking," Heidegger's major means of investigation is etymological: what is the word history of "to build" ("</w:t>
      </w:r>
      <w:r>
        <w:rPr>
          <w:b/>
          <w:bCs/>
        </w:rPr>
        <w:t>bauen</w:t>
      </w:r>
      <w:r>
        <w:rPr/>
        <w:t xml:space="preserve">") and its links to dwelling? </w:t>
      </w:r>
      <w:r>
        <w:rPr>
          <w:b/>
          <w:bCs/>
        </w:rPr>
        <w:t>Bauen</w:t>
      </w:r>
      <w:r>
        <w:rPr/>
        <w:t xml:space="preserve">, says Heidegger, relates to nearness and neighborliness and also implies "to cherish and protect, to preserve and care for" .... </w:t>
      </w:r>
      <w:r>
        <w:rPr>
          <w:b/>
          <w:bCs/>
        </w:rPr>
        <w:t>Bauen</w:t>
      </w:r>
      <w:r>
        <w:rPr/>
        <w:t xml:space="preserve"> also relates to the old High German word for building, "</w:t>
      </w:r>
      <w:r>
        <w:rPr>
          <w:b/>
          <w:bCs/>
        </w:rPr>
        <w:t>baun</w:t>
      </w:r>
      <w:r>
        <w:rPr/>
        <w:t>," which means "to dwell" in the sense of remaining or staying in place.</w:t>
      </w:r>
    </w:p>
    <w:p>
      <w:pPr>
        <w:pStyle w:val="Quote"/>
        <w:rPr/>
      </w:pPr>
      <w:r>
        <w:rPr/>
        <w:t>In emphasizing this link to place, Heidegger suggests that building relates to dwelling, which therefore can be said to involve a sense of continuity, community, and at-homeness .... The crux of dwelling, Heidegger argues, is sparing and preserving – the kindly concern for land, things, creatures, and people as they are and as they can become ….  As human beings, we cannot fail to dwell, for dwelling, ultimately, is the essential existential core of human being-in-the-world from which there is no escape.  [….]</w:t>
      </w:r>
    </w:p>
    <w:p>
      <w:pPr>
        <w:pStyle w:val="Quote"/>
        <w:rPr/>
      </w:pPr>
      <w:r>
        <w:rPr>
          <w:color w:val="00000A"/>
          <w:lang w:val="en-GB"/>
        </w:rPr>
        <w:t xml:space="preserve">This reconciliation between people and their built world is also a major aim in the research and design of American architect Christopher Alexander, though he works at a different experiential scale than Thiis-Evensen, who largely emphasizes lived qualities of individual buildings. Alexander is more concerned with architecture in its larger environmental context. In other words, how can activities, buildings, spaces, and landscapes be designed in an integrated, coherent way to create places that are coherent, beautiful, and alive for their residents and users? In short, the aim is place making that sustains dwelling </w:t>
      </w:r>
      <w:bookmarkStart w:id="4422" w:name="__UnoMark__23603_140394355"/>
      <w:bookmarkStart w:id="4423" w:name="__UnoMark__17381_140394355"/>
      <w:bookmarkStart w:id="4424" w:name="__UnoMark__15995_140394355"/>
      <w:bookmarkStart w:id="4425" w:name="__UnoMark__7970_497913431"/>
      <w:bookmarkStart w:id="4426" w:name="__UnoMark__17966_1661744717"/>
      <w:bookmarkStart w:id="4427" w:name="__UnoMark__17645_1661744717"/>
      <w:bookmarkStart w:id="4428" w:name="__UnoMark__16754_1661744717"/>
      <w:bookmarkStart w:id="4429" w:name="__UnoMark__15879_1661744717"/>
      <w:bookmarkStart w:id="4430" w:name="__UnoMark__15002_1661744717"/>
      <w:bookmarkStart w:id="4431" w:name="__UnoMark__7189_1586897740"/>
      <w:bookmarkStart w:id="4432" w:name="__UnoMark__13237_722878254"/>
      <w:bookmarkStart w:id="4433" w:name="__UnoMark__12556_722878254"/>
      <w:bookmarkStart w:id="4434" w:name="ZOTERO_BREF_nQiX4AbfXObh"/>
      <w:bookmarkStart w:id="4435" w:name="__UnoMark__11820_722878254"/>
      <w:bookmarkStart w:id="4436" w:name="__UnoMark__22356_497913431"/>
      <w:bookmarkStart w:id="4437" w:name="__UnoMark__23115_497913431"/>
      <w:bookmarkStart w:id="4438" w:name="__UnoMark__23819_497913431"/>
      <w:bookmarkStart w:id="4439" w:name="__UnoMark__24535_497913431"/>
      <w:bookmarkStart w:id="4440" w:name="__UnoMark__25396_497913431"/>
      <w:bookmarkStart w:id="4441" w:name="__UnoMark__9477_435217427"/>
      <w:bookmarkStart w:id="4442" w:name="__UnoMark__8833_283745954"/>
      <w:bookmarkStart w:id="4443" w:name="__UnoMark__9656_283745954"/>
      <w:bookmarkStart w:id="4444" w:name="__UnoMark__10754_283745954"/>
      <w:bookmarkStart w:id="4445" w:name="__UnoMark__11035_283745954"/>
      <w:bookmarkStart w:id="4446" w:name="__UnoMark__16384_1880123655"/>
      <w:bookmarkStart w:id="4447" w:name="__UnoMark__17431_1880123655"/>
      <w:bookmarkStart w:id="4448" w:name="__UnoMark__18542_1880123655"/>
      <w:bookmarkStart w:id="4449" w:name="__UnoMark__27347_836371768"/>
      <w:bookmarkStart w:id="4450" w:name="__UnoMark__28492_836371768"/>
      <w:bookmarkStart w:id="4451" w:name="__UnoMark__29666_836371768"/>
      <w:bookmarkStart w:id="4452" w:name="__UnoMark__30827_836371768"/>
      <w:bookmarkStart w:id="4453" w:name="__UnoMark__40817_2025191570"/>
      <w:bookmarkStart w:id="4454" w:name="__UnoMark__42033_2025191570"/>
      <w:bookmarkStart w:id="4455" w:name="__UnoMark__43284_2025191570"/>
      <w:bookmarkStart w:id="4456" w:name="__UnoMark__44544_2025191570"/>
      <w:r>
        <w:rPr>
          <w:color w:val="00000A"/>
          <w:lang w:val="en-GB"/>
        </w:rPr>
        <w:t>(Seamon, 1998, paras. 2, 3, 15)</w:t>
      </w:r>
      <w:bookmarkStart w:id="4457" w:name="__UnoMark__12043_722878254"/>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r>
        <w:rPr>
          <w:color w:val="00000A"/>
          <w:lang w:val="en-GB"/>
        </w:rPr>
        <w:t>.</w:t>
      </w:r>
    </w:p>
    <w:p>
      <w:pPr>
        <w:pStyle w:val="Normal"/>
        <w:rPr/>
      </w:pPr>
      <w:r>
        <w:rPr>
          <w:color w:val="00000A"/>
          <w:lang w:val="en-GB"/>
        </w:rPr>
        <w:t>Although Alexander seems to have not specifically cite Heidegger in his writings, a collaborator confirms that influence.</w:t>
      </w:r>
    </w:p>
    <w:p>
      <w:pPr>
        <w:pStyle w:val="Quote"/>
        <w:rPr/>
      </w:pPr>
      <w:r>
        <w:rPr/>
        <w:t xml:space="preserve">Alexander writes at great length, and sometimes quite movingly, about our basic human need to belong to a space, to be ‘not-separate’ from our surrounds. Although Alexander certainly knew of Goethe, Heidegger and Merleau-Ponty, in the years that I spent working with him, readings and discussions did not go in that direction. As far as I can recall, no mention of authors dealing with place was ever made. Only recently, through conversations with David Seamon, have the writings of Edward Relph been brought to my attention. [….] Relph’s now classic (1976) book, </w:t>
      </w:r>
      <w:r>
        <w:rPr>
          <w:b/>
          <w:bCs/>
        </w:rPr>
        <w:t>Place and Placelessness</w:t>
      </w:r>
      <w:r>
        <w:rPr/>
        <w:t>, develops a coherent conceptual framework that provides an excellent backbone for Alexander’s poetic prose and for reviewing more profoundly human responses to geometries in the built environment.</w:t>
      </w:r>
    </w:p>
    <w:p>
      <w:pPr>
        <w:pStyle w:val="Quote"/>
        <w:rPr/>
      </w:pPr>
      <w:r>
        <w:rPr/>
        <w:t xml:space="preserve">Relph’s structure is based on dialectical oppositions and covers a very wide and refined range of relationships with the built environment. Alexander’s work is really concerned with only two of them. One is existential insideness (belonging, attachment), the state of unself-conscious being-in (Heidegger’s </w:t>
      </w:r>
      <w:r>
        <w:rPr>
          <w:b/>
          <w:bCs/>
        </w:rPr>
        <w:t>da-sein</w:t>
      </w:r>
      <w:r>
        <w:rPr/>
        <w:t xml:space="preserve">) as opposed to existential outsideness, the experience of alienation from one’s surroundings. The other is the scale between authentic and unauthentic. Authentic refers to the genuine experience and creation of a place of identity. The relationship is direct. Unauthentic involves the mediation of symbols, icons, fashion, kitsch and conventional stereotypes </w:t>
      </w:r>
      <w:bookmarkStart w:id="4458" w:name="__UnoMark__23604_140394355"/>
      <w:bookmarkStart w:id="4459" w:name="__UnoMark__17382_140394355"/>
      <w:bookmarkStart w:id="4460" w:name="__UnoMark__15996_140394355"/>
      <w:bookmarkStart w:id="4461" w:name="__UnoMark__11887_722878254"/>
      <w:bookmarkStart w:id="4462" w:name="__UnoMark__12555_722878254"/>
      <w:bookmarkStart w:id="4463" w:name="__UnoMark__13236_722878254"/>
      <w:bookmarkStart w:id="4464" w:name="__UnoMark__7188_1586897740"/>
      <w:bookmarkStart w:id="4465" w:name="__UnoMark__15001_1661744717"/>
      <w:bookmarkStart w:id="4466" w:name="__UnoMark__15878_1661744717"/>
      <w:bookmarkStart w:id="4467" w:name="__UnoMark__16753_1661744717"/>
      <w:bookmarkStart w:id="4468" w:name="__UnoMark__17644_1661744717"/>
      <w:bookmarkStart w:id="4469" w:name="__UnoMark__17965_1661744717"/>
      <w:bookmarkStart w:id="4470" w:name="__UnoMark__7969_497913431"/>
      <w:bookmarkStart w:id="4471" w:name="ZOTERO_BREF_4ldNzA5cptPy"/>
      <w:bookmarkStart w:id="4472" w:name="__UnoMark__22355_497913431"/>
      <w:bookmarkStart w:id="4473" w:name="__UnoMark__23114_497913431"/>
      <w:bookmarkStart w:id="4474" w:name="__UnoMark__23818_497913431"/>
      <w:bookmarkStart w:id="4475" w:name="__UnoMark__24534_497913431"/>
      <w:bookmarkStart w:id="4476" w:name="__UnoMark__25395_497913431"/>
      <w:bookmarkStart w:id="4477" w:name="__UnoMark__9476_435217427"/>
      <w:bookmarkStart w:id="4478" w:name="__UnoMark__8832_283745954"/>
      <w:bookmarkStart w:id="4479" w:name="__UnoMark__9655_283745954"/>
      <w:bookmarkStart w:id="4480" w:name="__UnoMark__10753_283745954"/>
      <w:bookmarkStart w:id="4481" w:name="__UnoMark__11034_283745954"/>
      <w:bookmarkStart w:id="4482" w:name="__UnoMark__16385_1880123655"/>
      <w:bookmarkStart w:id="4483" w:name="__UnoMark__17432_1880123655"/>
      <w:bookmarkStart w:id="4484" w:name="__UnoMark__18543_1880123655"/>
      <w:bookmarkStart w:id="4485" w:name="__UnoMark__27348_836371768"/>
      <w:bookmarkStart w:id="4486" w:name="__UnoMark__28493_836371768"/>
      <w:bookmarkStart w:id="4487" w:name="__UnoMark__29667_836371768"/>
      <w:bookmarkStart w:id="4488" w:name="__UnoMark__30828_836371768"/>
      <w:bookmarkStart w:id="4489" w:name="__UnoMark__40818_2025191570"/>
      <w:bookmarkStart w:id="4490" w:name="__UnoMark__42034_2025191570"/>
      <w:bookmarkStart w:id="4491" w:name="__UnoMark__43285_2025191570"/>
      <w:bookmarkStart w:id="4492" w:name="__UnoMark__44545_2025191570"/>
      <w:r>
        <w:rPr/>
        <w:t>(Quillien, 2008, p. 85)</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r>
        <w:rPr/>
        <w:t>.</w:t>
      </w:r>
    </w:p>
    <w:p>
      <w:pPr>
        <w:pStyle w:val="Normal"/>
        <w:rPr/>
      </w:pPr>
      <w:r>
        <w:rPr>
          <w:i/>
          <w:iCs/>
          <w:color w:val="00000A"/>
          <w:lang w:val="en-GB"/>
        </w:rPr>
        <w:t>Dasein</w:t>
      </w:r>
      <w:r>
        <w:rPr>
          <w:color w:val="00000A"/>
          <w:lang w:val="en-GB"/>
        </w:rPr>
        <w:t xml:space="preserve"> can be translated as being there or existence.  Being-in-the-world also includes availableness (also known as ready-to-hand) and occurrentness (also known as present-at-hand).</w:t>
      </w:r>
    </w:p>
    <w:p>
      <w:pPr>
        <w:pStyle w:val="Quote"/>
        <w:rPr/>
      </w:pPr>
      <w:r>
        <w:rPr/>
        <w:t xml:space="preserve">Early Heidegger … is interested only in the ahistorical structure of being-in-the-world, which in </w:t>
      </w:r>
      <w:r>
        <w:rPr>
          <w:b/>
          <w:bCs/>
        </w:rPr>
        <w:t>Being and Time</w:t>
      </w:r>
      <w:r>
        <w:rPr/>
        <w:t xml:space="preserve"> he equates with Dasein’s taking as stand on itself and significance.  Dasein’s consequent familiarity with the three basic ways of being – existence, availableness and occurrentness – he equates with Dasein‘s understanding of being in general </w:t>
      </w:r>
      <w:bookmarkStart w:id="4493" w:name="__UnoMark__23605_140394355"/>
      <w:bookmarkStart w:id="4494" w:name="__UnoMark__17383_140394355"/>
      <w:bookmarkStart w:id="4495" w:name="__UnoMark__15997_140394355"/>
      <w:bookmarkStart w:id="4496" w:name="__UnoMark__16386_1880123655"/>
      <w:bookmarkStart w:id="4497" w:name="__UnoMark__17433_1880123655"/>
      <w:bookmarkStart w:id="4498" w:name="__UnoMark__18544_1880123655"/>
      <w:bookmarkStart w:id="4499" w:name="ZOTERO_BREF_fGkrzyVtAmNn"/>
      <w:bookmarkStart w:id="4500" w:name="__UnoMark__27349_836371768"/>
      <w:bookmarkStart w:id="4501" w:name="__UnoMark__28494_836371768"/>
      <w:bookmarkStart w:id="4502" w:name="__UnoMark__29668_836371768"/>
      <w:bookmarkStart w:id="4503" w:name="__UnoMark__30829_836371768"/>
      <w:bookmarkStart w:id="4504" w:name="__UnoMark__40819_2025191570"/>
      <w:bookmarkStart w:id="4505" w:name="__UnoMark__42035_2025191570"/>
      <w:bookmarkStart w:id="4506" w:name="__UnoMark__43286_2025191570"/>
      <w:bookmarkStart w:id="4507" w:name="__UnoMark__44546_2025191570"/>
      <w:r>
        <w:rPr/>
        <w:t>(Dreyfus, 1990, p. 192)</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r>
        <w:rPr/>
        <w:t>.</w:t>
      </w:r>
    </w:p>
    <w:p>
      <w:pPr>
        <w:pStyle w:val="Normal"/>
        <w:rPr/>
      </w:pPr>
      <w:r>
        <w:rPr>
          <w:color w:val="00000A"/>
          <w:lang w:val="en-GB"/>
        </w:rPr>
        <w:t>To be at home in the world, Heidegger denies being-amidst (also translated as being-alongside or side-by-sideness) in favour of dwelling.</w:t>
      </w:r>
    </w:p>
    <w:p>
      <w:pPr>
        <w:pStyle w:val="Quote"/>
        <w:rPr/>
      </w:pPr>
      <w:r>
        <w:rPr/>
        <w:t xml:space="preserve">What Heidgger is getting at is a mode of being-in we might call "inhabiting".  When we inhabit something, it is no longer an object for us but becomes part of us and pervades our relation to other objects in the world.  Both Heidegger and Michael Polanyi call this way of being-in "dwelling".  Polanyi points out that we dwell in our language; we feel at home in it and relate to objects and other people through it.  Heidegger says the same for the world.  Dwelling is Dasein’s basic way of being-in-the-world.  The relation between me and what I inhabit cannot be understood on the model of the relation between subject and object </w:t>
      </w:r>
      <w:bookmarkStart w:id="4508" w:name="__UnoMark__23606_140394355"/>
      <w:bookmarkStart w:id="4509" w:name="__UnoMark__17384_140394355"/>
      <w:bookmarkStart w:id="4510" w:name="__UnoMark__15998_140394355"/>
      <w:bookmarkStart w:id="4511" w:name="__UnoMark__17434_1880123655"/>
      <w:bookmarkStart w:id="4512" w:name="__UnoMark__18545_1880123655"/>
      <w:bookmarkStart w:id="4513" w:name="__UnoMark__16387_1880123655"/>
      <w:bookmarkStart w:id="4514" w:name="ZOTERO_BREF_TEQj2XWJE5x6"/>
      <w:bookmarkStart w:id="4515" w:name="__UnoMark__27350_836371768"/>
      <w:bookmarkStart w:id="4516" w:name="__UnoMark__28495_836371768"/>
      <w:bookmarkStart w:id="4517" w:name="__UnoMark__29669_836371768"/>
      <w:bookmarkStart w:id="4518" w:name="__UnoMark__30830_836371768"/>
      <w:bookmarkStart w:id="4519" w:name="__UnoMark__40820_2025191570"/>
      <w:bookmarkStart w:id="4520" w:name="__UnoMark__42036_2025191570"/>
      <w:bookmarkStart w:id="4521" w:name="__UnoMark__43287_2025191570"/>
      <w:bookmarkStart w:id="4522" w:name="__UnoMark__44547_2025191570"/>
      <w:r>
        <w:rPr/>
        <w:t>(Dreyfus, 1990, p. 45)</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r>
        <w:rPr/>
        <w:t>.</w:t>
      </w:r>
    </w:p>
    <w:p>
      <w:pPr>
        <w:pStyle w:val="Normal"/>
        <w:rPr/>
      </w:pPr>
      <w:r>
        <w:rPr>
          <w:color w:val="00000A"/>
          <w:lang w:val="en-GB"/>
        </w:rPr>
        <w:t xml:space="preserve">When we think about a service system rather than a built environment, however, should the nature of being served over a period of time be considering a journey, rather than the dwelling in a moment in time?  Since Alexander didn’t cite Heidegger or write specifically about place, he might also have had issues with these philosophical details.  This distinction between dwelling and journeying shows up in a criticism of Relph, but is rooted in the understanding of temporality in </w:t>
      </w:r>
      <w:r>
        <w:rPr>
          <w:i/>
          <w:iCs/>
          <w:color w:val="00000A"/>
          <w:lang w:val="en-GB"/>
        </w:rPr>
        <w:t>Being and Time</w:t>
      </w:r>
      <w:r>
        <w:rPr>
          <w:color w:val="00000A"/>
          <w:lang w:val="en-GB"/>
        </w:rPr>
        <w:t>.</w:t>
      </w:r>
    </w:p>
    <w:p>
      <w:pPr>
        <w:pStyle w:val="Quote"/>
        <w:rPr/>
      </w:pPr>
      <w:r>
        <w:rPr/>
        <w:t xml:space="preserve">Another concern that some critics voiced regarding </w:t>
      </w:r>
      <w:r>
        <w:rPr>
          <w:b/>
          <w:bCs/>
        </w:rPr>
        <w:t>Place and Placelessness</w:t>
      </w:r>
      <w:r>
        <w:rPr/>
        <w:t xml:space="preserve"> is that it favors home, center, and dwelling over horizon, periphery, and journey …. As Relph (1996) says in his twentieth-anniversary commentary, he was accused of emphasizing the positive qualities of place and ignoring or minimizing negative qualities—e.g., the possibility that place can generate parochialism, xenophobia, and narrow-mindedness .... Again, a close reading of the book reveals a flexibility of expression—a recognition that an excess of place can lead to a provincialism and callousness for outsiders just as an excess of  journey can lead to a loss of identity or an impartial relativity that allows for commitment to nothing. The broader point is that, in the book's lived dialectics (center/horizon, place/placelessness, and so forth), there is a wonderful resilience of conceptual interrelationship that is another hallmark of the best phenomenology.  [….]</w:t>
      </w:r>
    </w:p>
    <w:p>
      <w:pPr>
        <w:pStyle w:val="Quote"/>
        <w:rPr/>
      </w:pPr>
      <w:r>
        <w:rPr/>
        <w:t xml:space="preserve">This criticism, of course, ignores a central conclusion of </w:t>
      </w:r>
      <w:r>
        <w:rPr>
          <w:b/>
          <w:bCs/>
        </w:rPr>
        <w:t>Place and Placelessness</w:t>
      </w:r>
      <w:r>
        <w:rPr/>
        <w:t>: that regardless of the historical time or the geographical, technological, and social situation, people will always need place because having and identifying with place are integral to what and who we are as human beings .... [….]</w:t>
      </w:r>
    </w:p>
    <w:p>
      <w:pPr>
        <w:pStyle w:val="Quote"/>
        <w:rPr/>
      </w:pPr>
      <w:r>
        <w:rPr/>
        <w:t xml:space="preserve">Instead, the crucial question that both theory and practice should ask is how a “progressive” sense of place and insideness can be made even in the context of our relativist, constantly-changing postmodern world ... </w:t>
      </w:r>
      <w:bookmarkStart w:id="4523" w:name="__UnoMark__23607_140394355"/>
      <w:bookmarkStart w:id="4524" w:name="__UnoMark__17385_140394355"/>
      <w:bookmarkStart w:id="4525" w:name="__UnoMark__15999_140394355"/>
      <w:bookmarkStart w:id="4526" w:name="__UnoMark__15880_1661744717"/>
      <w:bookmarkStart w:id="4527" w:name="__UnoMark__11888_722878254"/>
      <w:bookmarkStart w:id="4528" w:name="__UnoMark__12557_722878254"/>
      <w:bookmarkStart w:id="4529" w:name="__UnoMark__13238_722878254"/>
      <w:bookmarkStart w:id="4530" w:name="__UnoMark__7190_1586897740"/>
      <w:bookmarkStart w:id="4531" w:name="__UnoMark__15003_1661744717"/>
      <w:bookmarkStart w:id="4532" w:name="__UnoMark__16755_1661744717"/>
      <w:bookmarkStart w:id="4533" w:name="__UnoMark__17646_1661744717"/>
      <w:bookmarkStart w:id="4534" w:name="__UnoMark__17967_1661744717"/>
      <w:bookmarkStart w:id="4535" w:name="__UnoMark__7971_497913431"/>
      <w:bookmarkStart w:id="4536" w:name="ZOTERO_BREF_wGAUM0yYxTtR"/>
      <w:bookmarkStart w:id="4537" w:name="__UnoMark__18546_1880123655"/>
      <w:bookmarkStart w:id="4538" w:name="__UnoMark__17435_1880123655"/>
      <w:bookmarkStart w:id="4539" w:name="__UnoMark__16388_1880123655"/>
      <w:bookmarkStart w:id="4540" w:name="__UnoMark__11036_283745954"/>
      <w:bookmarkStart w:id="4541" w:name="__UnoMark__10755_283745954"/>
      <w:bookmarkStart w:id="4542" w:name="__UnoMark__9657_283745954"/>
      <w:bookmarkStart w:id="4543" w:name="__UnoMark__8834_283745954"/>
      <w:bookmarkStart w:id="4544" w:name="__UnoMark__9478_435217427"/>
      <w:bookmarkStart w:id="4545" w:name="__UnoMark__25397_497913431"/>
      <w:bookmarkStart w:id="4546" w:name="__UnoMark__24536_497913431"/>
      <w:bookmarkStart w:id="4547" w:name="__UnoMark__23820_497913431"/>
      <w:bookmarkStart w:id="4548" w:name="__UnoMark__23116_497913431"/>
      <w:bookmarkStart w:id="4549" w:name="__UnoMark__22357_497913431"/>
      <w:bookmarkStart w:id="4550" w:name="__UnoMark__27351_836371768"/>
      <w:bookmarkStart w:id="4551" w:name="__UnoMark__28496_836371768"/>
      <w:bookmarkStart w:id="4552" w:name="__UnoMark__29670_836371768"/>
      <w:bookmarkStart w:id="4553" w:name="__UnoMark__30831_836371768"/>
      <w:bookmarkStart w:id="4554" w:name="__UnoMark__40821_2025191570"/>
      <w:bookmarkStart w:id="4555" w:name="__UnoMark__42037_2025191570"/>
      <w:bookmarkStart w:id="4556" w:name="__UnoMark__43288_2025191570"/>
      <w:bookmarkStart w:id="4557" w:name="__UnoMark__44548_2025191570"/>
      <w:r>
        <w:rPr/>
        <w:t>(Seamon &amp; Sowers, 2008, pp. 48–49)</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r>
        <w:rPr/>
        <w:t>.</w:t>
      </w:r>
    </w:p>
    <w:p>
      <w:pPr>
        <w:pStyle w:val="Normal"/>
        <w:rPr/>
      </w:pPr>
      <w:r>
        <w:rPr>
          <w:color w:val="00000A"/>
          <w:lang w:val="en-GB"/>
        </w:rPr>
        <w:t xml:space="preserve">In last quarter of </w:t>
      </w:r>
      <w:r>
        <w:rPr>
          <w:i/>
          <w:iCs/>
          <w:color w:val="00000A"/>
          <w:lang w:val="en-GB"/>
        </w:rPr>
        <w:t>Being and Time</w:t>
      </w:r>
      <w:r>
        <w:rPr>
          <w:color w:val="00000A"/>
          <w:lang w:val="en-GB"/>
        </w:rPr>
        <w:t>, Heidegger deepens his analysis of human existence with interpreting the structures of Dasein as modes of temporality.</w:t>
      </w:r>
    </w:p>
    <w:p>
      <w:pPr>
        <w:pStyle w:val="Quote"/>
        <w:rPr/>
      </w:pPr>
      <w:r>
        <w:rPr>
          <w:color w:val="00000A"/>
          <w:lang w:val="en-GB"/>
        </w:rPr>
        <w:t xml:space="preserve">Heidegger distinguishes, in fact, two sorts of everyday time, </w:t>
      </w:r>
      <w:r>
        <w:rPr>
          <w:b/>
          <w:bCs/>
          <w:i/>
          <w:iCs/>
          <w:color w:val="00000A"/>
          <w:lang w:val="en-GB"/>
        </w:rPr>
        <w:t>world-time</w:t>
      </w:r>
      <w:r>
        <w:rPr>
          <w:color w:val="00000A"/>
          <w:lang w:val="en-GB"/>
        </w:rPr>
        <w:t xml:space="preserve"> and </w:t>
      </w:r>
      <w:r>
        <w:rPr>
          <w:b/>
          <w:bCs/>
          <w:i/>
          <w:iCs/>
          <w:color w:val="00000A"/>
          <w:lang w:val="en-GB"/>
        </w:rPr>
        <w:t>time as ordinarily conceived</w:t>
      </w:r>
      <w:r>
        <w:rPr>
          <w:color w:val="00000A"/>
          <w:lang w:val="en-GB"/>
        </w:rPr>
        <w:t xml:space="preserve">. Time as we ordinarily </w:t>
      </w:r>
      <w:r>
        <w:rPr>
          <w:b/>
          <w:bCs/>
          <w:i/>
          <w:iCs/>
          <w:color w:val="00000A"/>
          <w:lang w:val="en-GB"/>
        </w:rPr>
        <w:t>conceive</w:t>
      </w:r>
      <w:r>
        <w:rPr>
          <w:color w:val="00000A"/>
          <w:lang w:val="en-GB"/>
        </w:rPr>
        <w:t xml:space="preserve"> it (</w:t>
      </w:r>
      <w:r>
        <w:rPr>
          <w:b/>
          <w:bCs/>
          <w:i/>
          <w:iCs/>
          <w:color w:val="00000A"/>
          <w:lang w:val="en-GB"/>
        </w:rPr>
        <w:t>der vulgäre Zeitbegriff</w:t>
      </w:r>
      <w:r>
        <w:rPr>
          <w:color w:val="00000A"/>
          <w:lang w:val="en-GB"/>
        </w:rPr>
        <w:t xml:space="preserve">) is time as the pure container of events. Heidegger may well build the term “conceive” into its name, because he wants to emphasize that when we disengage from our ordinary experience and talk about and contemplate time as such, we typically interpret time as such a pure container, as the continuous medium of natural change. When we are pre-theoretically engaged with time, however, we experience it as </w:t>
      </w:r>
      <w:r>
        <w:rPr>
          <w:b/>
          <w:bCs/>
          <w:i/>
          <w:iCs/>
          <w:color w:val="00000A"/>
          <w:lang w:val="en-GB"/>
        </w:rPr>
        <w:t>world-time</w:t>
      </w:r>
      <w:r>
        <w:rPr>
          <w:color w:val="00000A"/>
          <w:lang w:val="en-GB"/>
        </w:rPr>
        <w:t>. World-time is the sequence of meaningfully articulated, everyday times: dinner time, bed time, rush hour, the Great Depression, the Cold War Era, the 1960s, and the like.</w:t>
      </w:r>
    </w:p>
    <w:p>
      <w:pPr>
        <w:pStyle w:val="Quote"/>
        <w:rPr/>
      </w:pPr>
      <w:r>
        <w:rPr/>
        <w:t xml:space="preserve">World-time differs from ordinary time in that the times of world-time are overtly defined in terms of their relation to human interests, whereas ordinary times are conceptualized as independent of human interests </w:t>
      </w:r>
      <w:bookmarkStart w:id="4558" w:name="__UnoMark__23608_140394355"/>
      <w:bookmarkStart w:id="4559" w:name="__UnoMark__17386_140394355"/>
      <w:bookmarkStart w:id="4560" w:name="__UnoMark__16000_140394355"/>
      <w:bookmarkStart w:id="4561" w:name="ZOTERO_BREF_CZOM83qdrwR5"/>
      <w:bookmarkStart w:id="4562" w:name="__UnoMark__16389_1880123655"/>
      <w:bookmarkStart w:id="4563" w:name="__UnoMark__17436_1880123655"/>
      <w:bookmarkStart w:id="4564" w:name="__UnoMark__18547_1880123655"/>
      <w:bookmarkStart w:id="4565" w:name="__UnoMark__27352_836371768"/>
      <w:bookmarkStart w:id="4566" w:name="__UnoMark__28497_836371768"/>
      <w:bookmarkStart w:id="4567" w:name="__UnoMark__29671_836371768"/>
      <w:bookmarkStart w:id="4568" w:name="__UnoMark__30832_836371768"/>
      <w:bookmarkStart w:id="4569" w:name="__UnoMark__40822_2025191570"/>
      <w:bookmarkStart w:id="4570" w:name="__UnoMark__42038_2025191570"/>
      <w:bookmarkStart w:id="4571" w:name="__UnoMark__43289_2025191570"/>
      <w:bookmarkStart w:id="4572" w:name="__UnoMark__44549_2025191570"/>
      <w:r>
        <w:rPr/>
        <w:t>(Blattner, 2005, p. 316)</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r>
        <w:rPr/>
        <w:t>.</w:t>
      </w:r>
    </w:p>
    <w:p>
      <w:pPr>
        <w:pStyle w:val="Normal"/>
        <w:rPr/>
      </w:pPr>
      <w:r>
        <w:rPr>
          <w:color w:val="00000A"/>
          <w:lang w:val="en-GB"/>
        </w:rPr>
        <w:t xml:space="preserve">Thus, </w:t>
      </w:r>
      <w:r>
        <w:rPr>
          <w:i/>
          <w:iCs/>
          <w:color w:val="00000A"/>
          <w:lang w:val="en-GB"/>
        </w:rPr>
        <w:t>now</w:t>
      </w:r>
      <w:r>
        <w:rPr>
          <w:color w:val="00000A"/>
          <w:lang w:val="en-GB"/>
        </w:rPr>
        <w:t xml:space="preserve"> is not an isolated moment in time, but instead coupled in a past-present-and-future temporality.</w:t>
      </w:r>
    </w:p>
    <w:p>
      <w:pPr>
        <w:pStyle w:val="Quote"/>
        <w:rPr/>
      </w:pPr>
      <w:r>
        <w:rPr>
          <w:color w:val="00000A"/>
          <w:lang w:val="en-GB"/>
        </w:rPr>
        <w:t>This abstraction of the now, however, should not be thought of on the model of the medieval conception of the standing now (</w:t>
      </w:r>
      <w:r>
        <w:rPr>
          <w:b/>
          <w:bCs/>
          <w:i/>
          <w:iCs/>
          <w:color w:val="00000A"/>
          <w:lang w:val="en-GB"/>
        </w:rPr>
        <w:t>nunc stans</w:t>
      </w:r>
      <w:r>
        <w:rPr>
          <w:color w:val="00000A"/>
          <w:lang w:val="en-GB"/>
        </w:rPr>
        <w:t xml:space="preserve">). The world-time now is not disconnected from its own past and future, i.e. from other world-time nows. The standing now was conceived as a now, a moment of time, with no past and no future, a singular, isolated moment of time. The world-time now, as Heidegger conceives it, is isolated from the </w:t>
      </w:r>
      <w:r>
        <w:rPr>
          <w:b/>
          <w:bCs/>
          <w:i/>
          <w:iCs/>
          <w:color w:val="00000A"/>
          <w:lang w:val="en-GB"/>
        </w:rPr>
        <w:t>originary</w:t>
      </w:r>
      <w:r>
        <w:rPr>
          <w:color w:val="00000A"/>
          <w:lang w:val="en-GB"/>
        </w:rPr>
        <w:t xml:space="preserve"> past and future, but not from the world-time past and future. The world-time now is one now in a sequence of nows; world-time is a succession of nows. The world-time now is intrinsically spanned from a world-time past (no-longer-now) to a world-time future (not-yet-now). It is thus spanned, Heidegger argues, because it is a significant now, a now defined by the relations implied in the in-order-to </w:t>
      </w:r>
      <w:bookmarkStart w:id="4573" w:name="__UnoMark__23609_140394355"/>
      <w:bookmarkStart w:id="4574" w:name="__UnoMark__17387_140394355"/>
      <w:bookmarkStart w:id="4575" w:name="__UnoMark__16001_140394355"/>
      <w:bookmarkStart w:id="4576" w:name="__UnoMark__16390_1880123655"/>
      <w:bookmarkStart w:id="4577" w:name="__UnoMark__17437_1880123655"/>
      <w:bookmarkStart w:id="4578" w:name="__UnoMark__18548_1880123655"/>
      <w:bookmarkStart w:id="4579" w:name="ZOTERO_BREF_HR2h4Y3YyoHr"/>
      <w:bookmarkStart w:id="4580" w:name="__UnoMark__27353_836371768"/>
      <w:bookmarkStart w:id="4581" w:name="__UnoMark__28498_836371768"/>
      <w:bookmarkStart w:id="4582" w:name="__UnoMark__29672_836371768"/>
      <w:bookmarkStart w:id="4583" w:name="__UnoMark__30833_836371768"/>
      <w:bookmarkStart w:id="4584" w:name="__UnoMark__40823_2025191570"/>
      <w:bookmarkStart w:id="4585" w:name="__UnoMark__42039_2025191570"/>
      <w:bookmarkStart w:id="4586" w:name="__UnoMark__43290_2025191570"/>
      <w:bookmarkStart w:id="4587" w:name="__UnoMark__44550_2025191570"/>
      <w:r>
        <w:rPr>
          <w:color w:val="00000A"/>
          <w:lang w:val="en-GB"/>
        </w:rPr>
        <w:t>(Blattner, 2005, p. 320)</w:t>
      </w:r>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r>
        <w:rPr>
          <w:color w:val="00000A"/>
          <w:lang w:val="en-GB"/>
        </w:rPr>
        <w:t>.</w:t>
      </w:r>
    </w:p>
    <w:p>
      <w:pPr>
        <w:pStyle w:val="Normal"/>
        <w:rPr/>
      </w:pPr>
      <w:r>
        <w:rPr>
          <w:color w:val="00000A"/>
          <w:lang w:val="en-GB"/>
        </w:rPr>
        <w:t>In the ecological anthropology of Tim Ingold, place is not seen as a point in time, but in movement.</w:t>
      </w:r>
    </w:p>
    <w:p>
      <w:pPr>
        <w:pStyle w:val="Quote"/>
        <w:rPr/>
      </w:pPr>
      <w:r>
        <w:rPr/>
        <w:t xml:space="preserve">… </w:t>
      </w:r>
      <w:r>
        <w:rPr/>
        <w:t xml:space="preserve">places do not have locations but histories. Bound together by the itineraries of their inhabitants, places exist not in space but as nodes in a matrix of movement. I shall call this matrix a ‘region’. It is the knowledge of the region, and with it the ability to situate one’s current position within the historical context of journeys previously made – journeys to, from and around places – that distinguishes the countryman from the stranger </w:t>
      </w:r>
      <w:bookmarkStart w:id="4588" w:name="__UnoMark__23610_140394355"/>
      <w:bookmarkStart w:id="4589" w:name="__UnoMark__17388_140394355"/>
      <w:bookmarkStart w:id="4590" w:name="__UnoMark__16002_140394355"/>
      <w:bookmarkStart w:id="4591" w:name="__UnoMark__22358_497913431"/>
      <w:bookmarkStart w:id="4592" w:name="__UnoMark__17968_1661744717"/>
      <w:bookmarkStart w:id="4593" w:name="__UnoMark__17647_1661744717"/>
      <w:bookmarkStart w:id="4594" w:name="__UnoMark__16756_1661744717"/>
      <w:bookmarkStart w:id="4595" w:name="__UnoMark__15881_1661744717"/>
      <w:bookmarkStart w:id="4596" w:name="__UnoMark__15004_1661744717"/>
      <w:bookmarkStart w:id="4597" w:name="__UnoMark__7191_1586897740"/>
      <w:bookmarkStart w:id="4598" w:name="ZOTERO_BREF_QHQZnD64w9dU"/>
      <w:bookmarkStart w:id="4599" w:name="__UnoMark__12488_722878254"/>
      <w:bookmarkStart w:id="4600" w:name="__UnoMark__7972_497913431"/>
      <w:bookmarkStart w:id="4601" w:name="__UnoMark__23117_497913431"/>
      <w:bookmarkStart w:id="4602" w:name="__UnoMark__23821_497913431"/>
      <w:bookmarkStart w:id="4603" w:name="__UnoMark__24537_497913431"/>
      <w:bookmarkStart w:id="4604" w:name="__UnoMark__25398_497913431"/>
      <w:bookmarkStart w:id="4605" w:name="__UnoMark__9479_435217427"/>
      <w:bookmarkStart w:id="4606" w:name="__UnoMark__8835_283745954"/>
      <w:bookmarkStart w:id="4607" w:name="__UnoMark__9658_283745954"/>
      <w:bookmarkStart w:id="4608" w:name="__UnoMark__10756_283745954"/>
      <w:bookmarkStart w:id="4609" w:name="__UnoMark__11037_283745954"/>
      <w:bookmarkStart w:id="4610" w:name="__UnoMark__16391_1880123655"/>
      <w:bookmarkStart w:id="4611" w:name="__UnoMark__17438_1880123655"/>
      <w:bookmarkStart w:id="4612" w:name="__UnoMark__18549_1880123655"/>
      <w:bookmarkStart w:id="4613" w:name="__UnoMark__13239_722878254"/>
      <w:bookmarkStart w:id="4614" w:name="__UnoMark__27354_836371768"/>
      <w:bookmarkStart w:id="4615" w:name="__UnoMark__28499_836371768"/>
      <w:bookmarkStart w:id="4616" w:name="__UnoMark__29673_836371768"/>
      <w:bookmarkStart w:id="4617" w:name="__UnoMark__30834_836371768"/>
      <w:bookmarkStart w:id="4618" w:name="__UnoMark__40824_2025191570"/>
      <w:bookmarkStart w:id="4619" w:name="__UnoMark__42040_2025191570"/>
      <w:bookmarkStart w:id="4620" w:name="__UnoMark__43291_2025191570"/>
      <w:bookmarkStart w:id="4621" w:name="__UnoMark__44551_2025191570"/>
      <w:r>
        <w:rPr/>
        <w:t>(Ingold, 2000c, p. 219)</w:t>
      </w:r>
      <w:bookmarkStart w:id="4622" w:name="__UnoMark__12714_722878254"/>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r>
        <w:rPr/>
        <w:t>.</w:t>
      </w:r>
    </w:p>
    <w:p>
      <w:pPr>
        <w:pStyle w:val="Normal"/>
        <w:rPr/>
      </w:pPr>
      <w:r>
        <w:rPr>
          <w:color w:val="00000A"/>
          <w:lang w:val="en-GB"/>
        </w:rPr>
        <w:t>Service systems would then be better expressed in a simile of walking, rather than a static conception of dwelling in an unchanging place.</w:t>
      </w:r>
    </w:p>
    <w:p>
      <w:pPr>
        <w:pStyle w:val="Quote"/>
        <w:rPr/>
      </w:pPr>
      <w:r>
        <w:rPr/>
        <w:t xml:space="preserve">… </w:t>
      </w:r>
      <w:r>
        <w:rPr/>
        <w:t xml:space="preserve">in real life, for the most part, we do not perceive things from a single vantage point, but rather by walking around them. As the founder of ecological psychology, James Gibson, argued in his classic work on visual perception, the forms of the objects we see are specified by transformations in the pattern of reflected light reaching our eyes as we move about in their vicinity. We perceive, in short, not from a fixed point but along what Gibson calls a ‘path of observation’, a continuous itinerary of movement …. But if perception is thus a function of movement, then what we perceive must, at least in part, depend on how we move. Locomotion, not cognition, must be the starting point for the study of perceptual activity .... Or more strictly, cognition should not be set off from locomotion, along the lines of a division between head and heels, since walking is itself a form of circumambulatory knowing. Once this is recognised, a whole new field of inquiry is opened up, concerning the ways in which our knowledge of the environment is altered by techniques of footwork and by the many and varied devices that we attach to the feet in order to enhance their effectiveness in specific tasks and conditions </w:t>
      </w:r>
      <w:bookmarkStart w:id="4623" w:name="__UnoMark__23611_140394355"/>
      <w:bookmarkStart w:id="4624" w:name="__UnoMark__17389_140394355"/>
      <w:bookmarkStart w:id="4625" w:name="__UnoMark__16003_140394355"/>
      <w:bookmarkStart w:id="4626" w:name="ZOTERO_BREF_gnoK0SVl2caK"/>
      <w:bookmarkStart w:id="4627" w:name="__UnoMark__40825_2025191570"/>
      <w:bookmarkStart w:id="4628" w:name="__UnoMark__42041_2025191570"/>
      <w:bookmarkStart w:id="4629" w:name="__UnoMark__43292_2025191570"/>
      <w:bookmarkStart w:id="4630" w:name="__UnoMark__44552_2025191570"/>
      <w:bookmarkStart w:id="4631" w:name="__UnoMark__23822_497913431"/>
      <w:bookmarkStart w:id="4632" w:name="__UnoMark__17969_1661744717"/>
      <w:bookmarkStart w:id="4633" w:name="__UnoMark__17648_1661744717"/>
      <w:bookmarkStart w:id="4634" w:name="__UnoMark__16757_1661744717"/>
      <w:bookmarkStart w:id="4635" w:name="__UnoMark__15882_1661744717"/>
      <w:bookmarkStart w:id="4636" w:name="__UnoMark__15005_1661744717"/>
      <w:bookmarkStart w:id="4637" w:name="__UnoMark__7192_1586897740"/>
      <w:bookmarkStart w:id="4638" w:name="__UnoMark__23118_497913431"/>
      <w:bookmarkStart w:id="4639" w:name="__UnoMark__24538_497913431"/>
      <w:bookmarkStart w:id="4640" w:name="__UnoMark__25399_497913431"/>
      <w:bookmarkStart w:id="4641" w:name="__UnoMark__9480_435217427"/>
      <w:bookmarkStart w:id="4642" w:name="__UnoMark__8836_283745954"/>
      <w:bookmarkStart w:id="4643" w:name="__UnoMark__9659_283745954"/>
      <w:bookmarkStart w:id="4644" w:name="__UnoMark__10757_283745954"/>
      <w:bookmarkStart w:id="4645" w:name="__UnoMark__11038_283745954"/>
      <w:bookmarkStart w:id="4646" w:name="__UnoMark__16392_1880123655"/>
      <w:bookmarkStart w:id="4647" w:name="__UnoMark__18550_1880123655"/>
      <w:bookmarkStart w:id="4648" w:name="__UnoMark__17439_1880123655"/>
      <w:bookmarkStart w:id="4649" w:name="__UnoMark__27355_836371768"/>
      <w:bookmarkStart w:id="4650" w:name="__UnoMark__28500_836371768"/>
      <w:bookmarkStart w:id="4651" w:name="__UnoMark__29674_836371768"/>
      <w:bookmarkStart w:id="4652" w:name="__UnoMark__30835_836371768"/>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r>
        <w:rPr>
          <w:b w:val="false"/>
          <w:i w:val="false"/>
          <w:caps w:val="false"/>
          <w:smallCaps w:val="false"/>
          <w:position w:val="0"/>
          <w:sz w:val="22"/>
          <w:sz w:val="22"/>
          <w:u w:val="none"/>
          <w:vertAlign w:val="baseline"/>
        </w:rPr>
        <w:t>(Ingold, 2011b, pp. 45–46)</w:t>
      </w:r>
      <w:bookmarkStart w:id="4653" w:name="__UnoMark__13407_722878254"/>
      <w:bookmarkStart w:id="4654" w:name="__UnoMark__22547_497913431"/>
      <w:bookmarkStart w:id="4655" w:name="__UnoMark__13395_722878254"/>
      <w:bookmarkEnd w:id="4623"/>
      <w:bookmarkEnd w:id="4624"/>
      <w:bookmarkEnd w:id="4625"/>
      <w:bookmarkEnd w:id="4626"/>
      <w:bookmarkEnd w:id="4627"/>
      <w:bookmarkEnd w:id="4628"/>
      <w:bookmarkEnd w:id="4629"/>
      <w:bookmarkEnd w:id="4630"/>
      <w:bookmarkEnd w:id="4653"/>
      <w:bookmarkEnd w:id="4654"/>
      <w:bookmarkEnd w:id="4655"/>
      <w:r>
        <w:rPr/>
        <w:t>.</w:t>
      </w:r>
    </w:p>
    <w:p>
      <w:pPr>
        <w:pStyle w:val="Normal"/>
        <w:rPr>
          <w:color w:val="00000A"/>
          <w:lang w:val="en-GB"/>
        </w:rPr>
      </w:pPr>
      <w:r>
        <w:rPr>
          <w:color w:val="00000A"/>
          <w:lang w:val="en-GB"/>
        </w:rPr>
        <w:t>A pattern language for service systems thinking is thus better founded on a conception of journeying that includes movement of time, rather than dwelling in a single place and time.  This refinement of understanding dwelling was not explicitly expressed by Alexander, but his omission on writing about place is compatible with journeying.  At the root of this issue may not be philosophies of either Alexander or Heidegger, but incomplete appreciations in subsequent interpretations.</w:t>
      </w:r>
    </w:p>
    <w:p>
      <w:pPr>
        <w:pStyle w:val="Heading3"/>
        <w:numPr>
          <w:ilvl w:val="2"/>
          <w:numId w:val="2"/>
        </w:numPr>
        <w:rPr/>
      </w:pPr>
      <w:r>
        <w:rPr>
          <w:lang w:val="en-GB"/>
        </w:rPr>
        <w:t>From semi-lattice to meshwork</w:t>
      </w:r>
    </w:p>
    <w:p>
      <w:pPr>
        <w:pStyle w:val="Normal"/>
        <w:rPr/>
      </w:pPr>
      <w:r>
        <w:rPr>
          <w:color w:val="00000A"/>
          <w:lang w:val="en-GB"/>
        </w:rPr>
        <w:t>The semi-lattice foundational to Alexander’s thinking may be limiting for service systems thinking.  Certainly, a service system, like a built environment, isn’t well represented as a tree.  In describing a newsrack at a street corner in Berkeley, "A City is Not a Tree" focuses on the physical invariants.</w:t>
      </w:r>
    </w:p>
    <w:p>
      <w:pPr>
        <w:pStyle w:val="Quote"/>
        <w:rPr/>
      </w:pPr>
      <w:r>
        <w:rPr/>
        <w:t>From the designer's point of view, the physically unchanging part of this system is of special interest. The newsrack, the traffic light and the sidewalk between them, related as they are, form the fixed part of the system. It is te unchanging receptacle in which the changing parts of the system – people, newspapers, money and electrical impulses - can work together. I define this fixed part as a unit of the city. It derives its coherence as a unit both from the forces which hold its own elements together and from the dynamic coherence of the larger living system which includes it as a fixed invariant part.</w:t>
      </w:r>
    </w:p>
    <w:p>
      <w:pPr>
        <w:pStyle w:val="Quote"/>
        <w:rPr/>
      </w:pPr>
      <w:r>
        <w:rPr/>
        <w:t xml:space="preserve">Of the many, many fixed concrete subsets of the city which are the receptacles for its systems and can therefore be thought of as significant physical units, we usually single out a few for special consideration. In fact, I claim that whatever picture of the city someone has is defined precisely by the subsets he sees as units </w:t>
      </w:r>
      <w:bookmarkStart w:id="4656" w:name="__UnoMark__23612_140394355"/>
      <w:bookmarkStart w:id="4657" w:name="__UnoMark__17390_140394355"/>
      <w:bookmarkStart w:id="4658" w:name="__UnoMark__16004_140394355"/>
      <w:bookmarkStart w:id="4659" w:name="__UnoMark__16758_1661744717"/>
      <w:bookmarkStart w:id="4660" w:name="ZOTERO_BREF_NQckAaubdL9F"/>
      <w:bookmarkStart w:id="4661" w:name="__UnoMark__7193_1586897740"/>
      <w:bookmarkStart w:id="4662" w:name="__UnoMark__15006_1661744717"/>
      <w:bookmarkStart w:id="4663" w:name="__UnoMark__15883_1661744717"/>
      <w:bookmarkStart w:id="4664" w:name="__UnoMark__17649_1661744717"/>
      <w:bookmarkStart w:id="4665" w:name="__UnoMark__17970_1661744717"/>
      <w:bookmarkStart w:id="4666" w:name="__UnoMark__22360_497913431"/>
      <w:bookmarkStart w:id="4667" w:name="__UnoMark__7974_497913431"/>
      <w:bookmarkStart w:id="4668" w:name="__UnoMark__23119_497913431"/>
      <w:bookmarkStart w:id="4669" w:name="__UnoMark__23823_497913431"/>
      <w:bookmarkStart w:id="4670" w:name="__UnoMark__24539_497913431"/>
      <w:bookmarkStart w:id="4671" w:name="__UnoMark__25400_497913431"/>
      <w:bookmarkStart w:id="4672" w:name="__UnoMark__9481_435217427"/>
      <w:bookmarkStart w:id="4673" w:name="__UnoMark__8837_283745954"/>
      <w:bookmarkStart w:id="4674" w:name="__UnoMark__9660_283745954"/>
      <w:bookmarkStart w:id="4675" w:name="__UnoMark__10758_283745954"/>
      <w:bookmarkStart w:id="4676" w:name="__UnoMark__11039_283745954"/>
      <w:bookmarkStart w:id="4677" w:name="__UnoMark__16393_1880123655"/>
      <w:bookmarkStart w:id="4678" w:name="__UnoMark__17440_1880123655"/>
      <w:bookmarkStart w:id="4679" w:name="__UnoMark__18551_1880123655"/>
      <w:bookmarkStart w:id="4680" w:name="__UnoMark__27356_836371768"/>
      <w:bookmarkStart w:id="4681" w:name="__UnoMark__28501_836371768"/>
      <w:bookmarkStart w:id="4682" w:name="__UnoMark__29675_836371768"/>
      <w:bookmarkStart w:id="4683" w:name="__UnoMark__30836_836371768"/>
      <w:bookmarkStart w:id="4684" w:name="__UnoMark__40826_2025191570"/>
      <w:bookmarkStart w:id="4685" w:name="__UnoMark__42042_2025191570"/>
      <w:bookmarkStart w:id="4686" w:name="__UnoMark__43293_2025191570"/>
      <w:bookmarkStart w:id="4687" w:name="__UnoMark__44553_2025191570"/>
      <w:r>
        <w:rPr>
          <w:iCs w:val="false"/>
        </w:rPr>
        <w:t>(Alexander, 1966, p. 48)</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r>
        <w:rPr/>
        <w:t>.</w:t>
      </w:r>
    </w:p>
    <w:p>
      <w:pPr>
        <w:pStyle w:val="Normal"/>
        <w:rPr/>
      </w:pPr>
      <w:r>
        <w:rPr>
          <w:color w:val="00000A"/>
          <w:lang w:val="en-GB"/>
        </w:rPr>
        <w:t>This perspective on the physical world is then applied to social structures, concluding that a semi-lattice is a better description.</w:t>
      </w:r>
    </w:p>
    <w:p>
      <w:pPr>
        <w:pStyle w:val="Quote"/>
        <w:rPr/>
      </w:pPr>
      <w:r>
        <w:rPr/>
        <w:t>In a traditional society, if we ask a man to name his best friends and then ask each of these in turn to name their best friends, they will all name each other so that they form a closed group. A village is made up of a number of separate closed groups of this kind.</w:t>
      </w:r>
    </w:p>
    <w:p>
      <w:pPr>
        <w:pStyle w:val="Quote"/>
        <w:rPr/>
      </w:pPr>
      <w:r>
        <w:rPr/>
        <w:t xml:space="preserve">But today's social structure is utterly different. If we ask a man to name his friends and then ask them in turn to name their friends, they will all name different people, very likely unknown to the first person; these people would again name others, and so on outwards. There are virtually no closed groups of people in modern society. The reality of today's social structure is thick with overlap - the systems of friends and acquaintances form a semilattice, not a tree </w:t>
      </w:r>
      <w:bookmarkStart w:id="4688" w:name="__UnoMark__23613_140394355"/>
      <w:bookmarkStart w:id="4689" w:name="__UnoMark__17391_140394355"/>
      <w:bookmarkStart w:id="4690" w:name="__UnoMark__16005_140394355"/>
      <w:bookmarkStart w:id="4691" w:name="__UnoMark__22361_497913431"/>
      <w:bookmarkStart w:id="4692" w:name="__UnoMark__17971_1661744717"/>
      <w:bookmarkStart w:id="4693" w:name="__UnoMark__17650_1661744717"/>
      <w:bookmarkStart w:id="4694" w:name="__UnoMark__16759_1661744717"/>
      <w:bookmarkStart w:id="4695" w:name="__UnoMark__15884_1661744717"/>
      <w:bookmarkStart w:id="4696" w:name="__UnoMark__15007_1661744717"/>
      <w:bookmarkStart w:id="4697" w:name="__UnoMark__7194_1586897740"/>
      <w:bookmarkStart w:id="4698" w:name="__UnoMark__7901_497913431"/>
      <w:bookmarkStart w:id="4699" w:name="ZOTERO_BREF_FrIceNYxAs4Z"/>
      <w:bookmarkStart w:id="4700" w:name="__UnoMark__18552_1880123655"/>
      <w:bookmarkStart w:id="4701" w:name="__UnoMark__17441_1880123655"/>
      <w:bookmarkStart w:id="4702" w:name="__UnoMark__16394_1880123655"/>
      <w:bookmarkStart w:id="4703" w:name="__UnoMark__11040_283745954"/>
      <w:bookmarkStart w:id="4704" w:name="__UnoMark__10759_283745954"/>
      <w:bookmarkStart w:id="4705" w:name="__UnoMark__9661_283745954"/>
      <w:bookmarkStart w:id="4706" w:name="__UnoMark__8838_283745954"/>
      <w:bookmarkStart w:id="4707" w:name="__UnoMark__9482_435217427"/>
      <w:bookmarkStart w:id="4708" w:name="__UnoMark__25401_497913431"/>
      <w:bookmarkStart w:id="4709" w:name="__UnoMark__24540_497913431"/>
      <w:bookmarkStart w:id="4710" w:name="__UnoMark__23824_497913431"/>
      <w:bookmarkStart w:id="4711" w:name="__UnoMark__23120_497913431"/>
      <w:bookmarkStart w:id="4712" w:name="__UnoMark__27357_836371768"/>
      <w:bookmarkStart w:id="4713" w:name="__UnoMark__28502_836371768"/>
      <w:bookmarkStart w:id="4714" w:name="__UnoMark__29676_836371768"/>
      <w:bookmarkStart w:id="4715" w:name="__UnoMark__30837_836371768"/>
      <w:bookmarkStart w:id="4716" w:name="__UnoMark__40827_2025191570"/>
      <w:bookmarkStart w:id="4717" w:name="__UnoMark__42043_2025191570"/>
      <w:bookmarkStart w:id="4718" w:name="__UnoMark__43294_2025191570"/>
      <w:bookmarkStart w:id="4719" w:name="__UnoMark__44554_2025191570"/>
      <w:r>
        <w:rPr/>
        <w:t>(Alexander, 1966, p. 51)</w:t>
      </w:r>
      <w:bookmarkStart w:id="4720" w:name="__UnoMark__8139_497913431"/>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r>
        <w:rPr/>
        <w:t>.</w:t>
      </w:r>
    </w:p>
    <w:p>
      <w:pPr>
        <w:pStyle w:val="Normal"/>
        <w:rPr>
          <w:color w:val="00000A"/>
          <w:lang w:val="en-GB"/>
        </w:rPr>
      </w:pPr>
      <w:r>
        <w:rPr>
          <w:color w:val="00000A"/>
          <w:lang w:val="en-GB"/>
        </w:rPr>
        <w:t>If, however, we think that friends are not fixed invariants – i.e. a person can gain and lose social relations with others – we add the dimension of movement and time.  We can think of each person not as a point, but as a line.</w:t>
      </w:r>
    </w:p>
    <w:p>
      <w:pPr>
        <w:pStyle w:val="Quote"/>
        <w:rPr/>
      </w:pPr>
      <w:r>
        <w:rPr/>
        <w:t xml:space="preserve">The animic world is in perpetual flux, as the beings that participate in it go their various ways. These beings do not exist at locations, they occur along paths. Among the Inuit of the Canadian Arctic, for example, ... as soon as a person moves he or she becomes a line. People are known and recognised by the trails they leave behind them .... Animals, likewise, are distinguished by characteristic patterns of activity or movement signatures, and to perceive an animal is to witness this activity going on, or to hear it.  [….]  The names of animals are not nouns but verbs </w:t>
      </w:r>
      <w:bookmarkStart w:id="4721" w:name="__UnoMark__23614_140394355"/>
      <w:bookmarkStart w:id="4722" w:name="__UnoMark__17392_140394355"/>
      <w:bookmarkStart w:id="4723" w:name="__UnoMark__16006_140394355"/>
      <w:bookmarkStart w:id="4724" w:name="__UnoMark__22287_497913431"/>
      <w:bookmarkStart w:id="4725" w:name="__UnoMark__7195_1586897740"/>
      <w:bookmarkStart w:id="4726" w:name="__UnoMark__15008_1661744717"/>
      <w:bookmarkStart w:id="4727" w:name="__UnoMark__15885_1661744717"/>
      <w:bookmarkStart w:id="4728" w:name="__UnoMark__16760_1661744717"/>
      <w:bookmarkStart w:id="4729" w:name="__UnoMark__17651_1661744717"/>
      <w:bookmarkStart w:id="4730" w:name="__UnoMark__17972_1661744717"/>
      <w:bookmarkStart w:id="4731" w:name="__UnoMark__23825_497913431"/>
      <w:bookmarkStart w:id="4732" w:name="__UnoMark__23046_497913431"/>
      <w:bookmarkStart w:id="4733" w:name="__UnoMark__24541_497913431"/>
      <w:bookmarkStart w:id="4734" w:name="__UnoMark__25402_497913431"/>
      <w:bookmarkStart w:id="4735" w:name="__UnoMark__9483_435217427"/>
      <w:bookmarkStart w:id="4736" w:name="__UnoMark__8839_283745954"/>
      <w:bookmarkStart w:id="4737" w:name="__UnoMark__9662_283745954"/>
      <w:bookmarkStart w:id="4738" w:name="__UnoMark__10760_283745954"/>
      <w:bookmarkStart w:id="4739" w:name="__UnoMark__11041_283745954"/>
      <w:bookmarkStart w:id="4740" w:name="__UnoMark__16395_1880123655"/>
      <w:bookmarkStart w:id="4741" w:name="__UnoMark__17442_1880123655"/>
      <w:bookmarkStart w:id="4742" w:name="__UnoMark__18553_1880123655"/>
      <w:bookmarkStart w:id="4743" w:name="__UnoMark__27358_836371768"/>
      <w:bookmarkStart w:id="4744" w:name="__UnoMark__28503_836371768"/>
      <w:bookmarkStart w:id="4745" w:name="__UnoMark__29677_836371768"/>
      <w:bookmarkStart w:id="4746" w:name="__UnoMark__30838_836371768"/>
      <w:bookmarkStart w:id="4747" w:name="ZOTERO_BREF_EEAfqHijfEJQ"/>
      <w:bookmarkStart w:id="4748" w:name="__UnoMark__40828_2025191570"/>
      <w:bookmarkStart w:id="4749" w:name="__UnoMark__42044_2025191570"/>
      <w:bookmarkStart w:id="4750" w:name="__UnoMark__43295_2025191570"/>
      <w:bookmarkStart w:id="4751" w:name="__UnoMark__44555_2025191570"/>
      <w:r>
        <w:rPr/>
        <w:t>(Ingold, 2011d, p. 72)</w:t>
      </w:r>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r>
        <w:rPr/>
        <w:t>.</w:t>
      </w:r>
    </w:p>
    <w:p>
      <w:pPr>
        <w:pStyle w:val="Normal"/>
        <w:rPr>
          <w:color w:val="00000A"/>
          <w:lang w:val="en-GB"/>
        </w:rPr>
      </w:pPr>
      <w:r>
        <w:rPr>
          <w:color w:val="00000A"/>
          <w:lang w:val="en-GB"/>
        </w:rPr>
        <w:t xml:space="preserve">Instead of depicting each person as an organism (within a system boundary) within its environment (outside a system boundary), we can orient towards the person with the environment.  </w:t>
      </w:r>
    </w:p>
    <w:p>
      <w:pPr>
        <w:pStyle w:val="Quote"/>
        <w:rPr/>
      </w:pPr>
      <w:r>
        <w:rPr/>
        <w:t xml:space="preserve">In the science of mind, the absoluteness of the boundary between organism and environment has not gone unquestioned. Thus in a lecture delivered in 1970 the anthropologist Gregory Bateson declared that ‘the mental world – the mind – the world of information processing – is not limited by the skin’ .... His point was that the processing loops involved in perception and action are not interior to the creature whose mind we are talking about, whether human or non-human, nor can that creature’s activity be understood as the merely mechanical output of one or more cognitive devices located in the head. Rather, such activity has to be understood as one aspect of the unfolding of a total system of relations comprised by the creature’s embodied presence in a specific environment </w:t>
      </w:r>
      <w:bookmarkStart w:id="4752" w:name="__UnoMark__23615_140394355"/>
      <w:bookmarkStart w:id="4753" w:name="__UnoMark__17393_140394355"/>
      <w:bookmarkStart w:id="4754" w:name="__UnoMark__16007_140394355"/>
      <w:bookmarkStart w:id="4755" w:name="__UnoMark__17973_1661744717"/>
      <w:bookmarkStart w:id="4756" w:name="__UnoMark__17652_1661744717"/>
      <w:bookmarkStart w:id="4757" w:name="__UnoMark__24466_497913431"/>
      <w:bookmarkStart w:id="4758" w:name="__UnoMark__16761_1661744717"/>
      <w:bookmarkStart w:id="4759" w:name="__UnoMark__15886_1661744717"/>
      <w:bookmarkStart w:id="4760" w:name="__UnoMark__15009_1661744717"/>
      <w:bookmarkStart w:id="4761" w:name="__UnoMark__7196_1586897740"/>
      <w:bookmarkStart w:id="4762" w:name="__UnoMark__25403_497913431"/>
      <w:bookmarkStart w:id="4763" w:name="__UnoMark__9484_435217427"/>
      <w:bookmarkStart w:id="4764" w:name="__UnoMark__8840_283745954"/>
      <w:bookmarkStart w:id="4765" w:name="__UnoMark__9663_283745954"/>
      <w:bookmarkStart w:id="4766" w:name="__UnoMark__11042_283745954"/>
      <w:bookmarkStart w:id="4767" w:name="__UnoMark__16396_1880123655"/>
      <w:bookmarkStart w:id="4768" w:name="__UnoMark__17443_1880123655"/>
      <w:bookmarkStart w:id="4769" w:name="__UnoMark__18554_1880123655"/>
      <w:bookmarkStart w:id="4770" w:name="__UnoMark__10761_283745954"/>
      <w:bookmarkStart w:id="4771" w:name="__UnoMark__27359_836371768"/>
      <w:bookmarkStart w:id="4772" w:name="__UnoMark__28504_836371768"/>
      <w:bookmarkStart w:id="4773" w:name="__UnoMark__29678_836371768"/>
      <w:bookmarkStart w:id="4774" w:name="__UnoMark__30839_836371768"/>
      <w:bookmarkStart w:id="4775" w:name="ZOTERO_BREF_drqylMRsJXFc"/>
      <w:bookmarkStart w:id="4776" w:name="__UnoMark__40829_2025191570"/>
      <w:bookmarkStart w:id="4777" w:name="__UnoMark__42045_2025191570"/>
      <w:bookmarkStart w:id="4778" w:name="__UnoMark__43296_2025191570"/>
      <w:bookmarkStart w:id="4779" w:name="__UnoMark__44556_2025191570"/>
      <w:bookmarkStart w:id="4780" w:name="__UnoMark__24716_497913431"/>
      <w:bookmarkEnd w:id="4780"/>
      <w:r>
        <w:rPr/>
        <w:t>(Ingold, 2011c, p. 86)</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r>
        <w:rPr/>
        <w:t>.</w:t>
      </w:r>
    </w:p>
    <w:p>
      <w:pPr>
        <w:pStyle w:val="Normal"/>
        <w:rPr>
          <w:color w:val="00000A"/>
          <w:lang w:val="en-GB"/>
        </w:rPr>
      </w:pPr>
      <w:r>
        <w:rPr>
          <w:color w:val="00000A"/>
          <w:lang w:val="en-GB"/>
        </w:rPr>
        <w:t>If each person is represented by a line of movement, then he or she intersects with others in a meshwork.</w:t>
      </w:r>
    </w:p>
    <w:p>
      <w:pPr>
        <w:pStyle w:val="Quote"/>
        <w:rPr/>
      </w:pPr>
      <w:r>
        <w:rPr/>
        <w:t xml:space="preserve">… </w:t>
      </w:r>
      <w:r>
        <w:rPr/>
        <w:t>there is a trail of movement or growth. Every such trail discloses a relation. But the relation is not between one thing and another – between the organism ‘here’ and the environment ‘there’. It is rather a trail along which life is lived. Neither beginning here and ending there, nor vice versa, the trail winds through or amidst like the root of a plant or a stream between its banks. Each such trail is but one strand in a tissue of trails that together ….  The meshwork comprise the texture of the lifeworld. This texture is what I mean when I speak of organisms being constituted within a relational field. It is a field not of interconnected points but of interwoven lines; not a network but a meshwork ….  [….]</w:t>
      </w:r>
    </w:p>
    <w:p>
      <w:pPr>
        <w:pStyle w:val="Quote"/>
        <w:rPr/>
      </w:pPr>
      <w:r>
        <w:rPr>
          <w:lang w:val="en-GB"/>
        </w:rPr>
        <w:t xml:space="preserve">… </w:t>
      </w:r>
      <w:r>
        <w:rPr>
          <w:lang w:val="en-GB"/>
        </w:rPr>
        <w:t xml:space="preserve">the lives of organisms generally extend along not one but multiple trails, issuing from a source. ‘To live’, as the philosopher of biology Georges Canguilhem wrote in his Knowledge of Life of 1952, ‘is to radiate; it is to organise the milieu from and around a centre of reference’ …. </w:t>
      </w:r>
      <w:bookmarkStart w:id="4781" w:name="__UnoMark__23616_140394355"/>
      <w:bookmarkStart w:id="4782" w:name="__UnoMark__17394_140394355"/>
      <w:bookmarkStart w:id="4783" w:name="__UnoMark__16008_140394355"/>
      <w:bookmarkStart w:id="4784" w:name="ZOTERO_BREF_9A77g9MLWQCU"/>
      <w:bookmarkStart w:id="4785" w:name="__UnoMark__40830_2025191570"/>
      <w:bookmarkStart w:id="4786" w:name="__UnoMark__42046_2025191570"/>
      <w:bookmarkStart w:id="4787" w:name="__UnoMark__43297_2025191570"/>
      <w:bookmarkStart w:id="4788" w:name="__UnoMark__44557_2025191570"/>
      <w:r>
        <w:rPr>
          <w:lang w:val="en-GB"/>
        </w:rPr>
        <w:t>(Ingold, 2011d, pp. 69</w:t>
      </w:r>
      <w:bookmarkEnd w:id="4781"/>
      <w:bookmarkEnd w:id="4782"/>
      <w:bookmarkEnd w:id="4783"/>
      <w:bookmarkEnd w:id="4784"/>
      <w:bookmarkEnd w:id="4785"/>
      <w:bookmarkEnd w:id="4786"/>
      <w:bookmarkEnd w:id="4787"/>
      <w:bookmarkEnd w:id="4788"/>
      <w:r>
        <w:rPr/>
        <w:t>–70)</w:t>
      </w:r>
    </w:p>
    <w:p>
      <w:pPr>
        <w:pStyle w:val="Normal"/>
        <w:rPr/>
      </w:pPr>
      <w:r>
        <w:rPr>
          <w:color w:val="00000A"/>
          <w:lang w:val="en-GB"/>
        </w:rPr>
        <w:t xml:space="preserve">The term meshwork was originally borrowed from Henri Lefebvre </w:t>
      </w:r>
      <w:bookmarkStart w:id="4789" w:name="__UnoMark__23515_140394355"/>
      <w:bookmarkStart w:id="4790" w:name="__UnoMark__17395_140394355"/>
      <w:bookmarkStart w:id="4791" w:name="__UnoMark__16009_140394355"/>
      <w:bookmarkStart w:id="4792" w:name="__UnoMark__16399_1880123655"/>
      <w:bookmarkStart w:id="4793" w:name="__UnoMark__17446_1880123655"/>
      <w:bookmarkStart w:id="4794" w:name="__UnoMark__18557_1880123655"/>
      <w:bookmarkStart w:id="4795" w:name="__UnoMark__27362_836371768"/>
      <w:bookmarkStart w:id="4796" w:name="__UnoMark__28507_836371768"/>
      <w:bookmarkStart w:id="4797" w:name="__UnoMark__29681_836371768"/>
      <w:bookmarkStart w:id="4798" w:name="__UnoMark__30842_836371768"/>
      <w:bookmarkStart w:id="4799" w:name="ZOTERO_BREF_zKnLnOYnYLaX"/>
      <w:bookmarkStart w:id="4800" w:name="__UnoMark__40831_2025191570"/>
      <w:bookmarkStart w:id="4801" w:name="__UnoMark__42047_2025191570"/>
      <w:bookmarkStart w:id="4802" w:name="__UnoMark__43298_2025191570"/>
      <w:bookmarkStart w:id="4803" w:name="__UnoMark__44558_2025191570"/>
      <w:r>
        <w:rPr>
          <w:color w:val="00000A"/>
          <w:lang w:val="en-GB"/>
        </w:rPr>
        <w:t>(Ingold, 2007b, p. 83)</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r>
        <w:rPr>
          <w:color w:val="00000A"/>
          <w:lang w:val="en-GB"/>
        </w:rPr>
        <w:t xml:space="preserve">.   It makes adjustments to the ecological approach to perception of J.J. Gibson, biosemiotics from Jakob von Uxekull, being-in-the-world of Martin Heidegger via Hubert Dreyfus, the haeccity of Gilles Deleuze, and embodied presence in environment of Gregory Bateson </w:t>
      </w:r>
      <w:bookmarkStart w:id="4804" w:name="ZOTERO_BREF_peCXSv4KMfSd"/>
      <w:bookmarkStart w:id="4805" w:name="__UnoMark__23516_140394355"/>
      <w:bookmarkStart w:id="4806" w:name="__UnoMark__17396_140394355"/>
      <w:bookmarkStart w:id="4807" w:name="__UnoMark__16010_140394355"/>
      <w:bookmarkStart w:id="4808" w:name="__UnoMark__18558_1880123655"/>
      <w:bookmarkStart w:id="4809" w:name="__UnoMark__17447_1880123655"/>
      <w:bookmarkStart w:id="4810" w:name="__UnoMark__16400_1880123655"/>
      <w:bookmarkStart w:id="4811" w:name="__UnoMark__27363_836371768"/>
      <w:bookmarkStart w:id="4812" w:name="__UnoMark__28508_836371768"/>
      <w:bookmarkStart w:id="4813" w:name="__UnoMark__29682_836371768"/>
      <w:bookmarkStart w:id="4814" w:name="__UnoMark__30843_836371768"/>
      <w:bookmarkStart w:id="4815" w:name="__UnoMark__40832_2025191570"/>
      <w:bookmarkStart w:id="4816" w:name="__UnoMark__42048_2025191570"/>
      <w:bookmarkStart w:id="4817" w:name="__UnoMark__43299_2025191570"/>
      <w:bookmarkStart w:id="4818" w:name="__UnoMark__44559_2025191570"/>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r>
        <w:rPr>
          <w:b w:val="false"/>
          <w:i w:val="false"/>
          <w:caps w:val="false"/>
          <w:smallCaps w:val="false"/>
          <w:color w:val="00000A"/>
          <w:position w:val="0"/>
          <w:sz w:val="22"/>
          <w:sz w:val="22"/>
          <w:u w:val="none"/>
          <w:vertAlign w:val="baseline"/>
          <w:lang w:val="en-GB"/>
        </w:rPr>
        <w:t>(Ingold, 2011c, pp. 77</w:t>
      </w:r>
      <w:r>
        <w:rPr>
          <w:b w:val="false"/>
          <w:i w:val="false"/>
          <w:caps w:val="false"/>
          <w:smallCaps w:val="false"/>
          <w:position w:val="0"/>
          <w:sz w:val="22"/>
          <w:sz w:val="22"/>
          <w:u w:val="none"/>
          <w:vertAlign w:val="baseline"/>
        </w:rPr>
        <w:t>–86)</w:t>
      </w:r>
      <w:bookmarkStart w:id="4819" w:name="__UnoMark__24070_140394355"/>
      <w:bookmarkStart w:id="4820" w:name="__UnoMark__24058_140394355"/>
      <w:bookmarkEnd w:id="4804"/>
      <w:bookmarkEnd w:id="4819"/>
      <w:bookmarkEnd w:id="4820"/>
      <w:r>
        <w:rPr>
          <w:color w:val="00000A"/>
          <w:lang w:val="en-GB"/>
        </w:rPr>
        <w:t>.</w:t>
      </w:r>
    </w:p>
    <w:p>
      <w:pPr>
        <w:pStyle w:val="Normal"/>
        <w:rPr/>
      </w:pPr>
      <w:r>
        <w:rPr>
          <w:color w:val="00000A"/>
          <w:lang w:val="en-GB"/>
        </w:rPr>
        <w:t>Service systems thinking that puts human beings as the centre of focus may be better served by framing individuals as lines who intersect in meshworks, rather than the hierarchical orientation of a semi-lattice.</w:t>
      </w:r>
    </w:p>
    <w:p>
      <w:pPr>
        <w:pStyle w:val="Heading2"/>
        <w:numPr>
          <w:ilvl w:val="1"/>
          <w:numId w:val="2"/>
        </w:numPr>
        <w:rPr/>
      </w:pPr>
      <w:r>
        <w:rPr>
          <w:lang w:val="en-GB"/>
        </w:rPr>
        <w:t>Reinterpretations include issue-seeking, interactive value and wayfaring</w:t>
      </w:r>
    </w:p>
    <w:p>
      <w:pPr>
        <w:pStyle w:val="Normal"/>
        <w:rPr/>
      </w:pPr>
      <w:r>
        <w:rPr>
          <w:color w:val="00000A"/>
          <w:lang w:val="en-GB"/>
        </w:rPr>
        <w:t>Moving forward with service systems thinking based on pattern language suggests some three departures from the doxa for built environments.  These subtle differences can manifest as big impacts on theorizing and guiding pattern authoring in a new domain.</w:t>
      </w:r>
    </w:p>
    <w:p>
      <w:pPr>
        <w:pStyle w:val="Heading3"/>
        <w:numPr>
          <w:ilvl w:val="2"/>
          <w:numId w:val="2"/>
        </w:numPr>
        <w:rPr/>
      </w:pPr>
      <w:r>
        <w:rPr>
          <w:lang w:val="en-GB"/>
        </w:rPr>
        <w:t>From problem-solving to issue-seeking</w:t>
      </w:r>
    </w:p>
    <w:p>
      <w:pPr>
        <w:pStyle w:val="Normal"/>
        <w:rPr/>
      </w:pPr>
      <w:r>
        <w:rPr>
          <w:lang w:val="en-GB"/>
        </w:rPr>
        <w:t>Alexander’s three part rule describes a pattern as a relation between (i) a certain context, (ii) a problem, and (iii) a solution.  This simplification (i.e. without the discussion of forces) orients thinking towards problem-solving rather issue-seeking.  Issue-seeking is surfaced here as a recognition of (i) the original motivation for architectural programming, and (ii) the issues-based information systems approach of Horst Rittel, towards handling wicked problems.</w:t>
      </w:r>
    </w:p>
    <w:p>
      <w:pPr>
        <w:pStyle w:val="Normal"/>
        <w:rPr/>
      </w:pPr>
      <w:r>
        <w:rPr>
          <w:i/>
          <w:iCs/>
          <w:lang w:val="en-GB"/>
        </w:rPr>
        <w:t>Architectural programming</w:t>
      </w:r>
      <w:r>
        <w:rPr>
          <w:lang w:val="en-GB"/>
        </w:rPr>
        <w:t xml:space="preserve"> originated as a process for client engagement in the post-war boom of new elementary schools.  “Architectural Analysis” described in 1959 became “Problem Seeking” by 1969 </w:t>
      </w:r>
      <w:bookmarkStart w:id="4821" w:name="__UnoMark__23617_140394355"/>
      <w:bookmarkStart w:id="4822" w:name="__UnoMark__17397_140394355"/>
      <w:bookmarkStart w:id="4823" w:name="__UnoMark__16011_140394355"/>
      <w:bookmarkStart w:id="4824" w:name="ZOTERO_BREF_4Bcl5KfVpbTa"/>
      <w:bookmarkStart w:id="4825" w:name="__UnoMark__16401_1880123655"/>
      <w:bookmarkStart w:id="4826" w:name="__UnoMark__17448_1880123655"/>
      <w:bookmarkStart w:id="4827" w:name="__UnoMark__18559_1880123655"/>
      <w:bookmarkStart w:id="4828" w:name="__UnoMark__27364_836371768"/>
      <w:bookmarkStart w:id="4829" w:name="__UnoMark__28509_836371768"/>
      <w:bookmarkStart w:id="4830" w:name="__UnoMark__29683_836371768"/>
      <w:bookmarkStart w:id="4831" w:name="__UnoMark__30844_836371768"/>
      <w:bookmarkStart w:id="4832" w:name="__UnoMark__40833_2025191570"/>
      <w:bookmarkStart w:id="4833" w:name="__UnoMark__42049_2025191570"/>
      <w:bookmarkStart w:id="4834" w:name="__UnoMark__43300_2025191570"/>
      <w:bookmarkStart w:id="4835" w:name="__UnoMark__44560_2025191570"/>
      <w:r>
        <w:rPr>
          <w:lang w:val="en-GB"/>
        </w:rPr>
        <w:t>(Schermer, 2015)</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r>
        <w:rPr>
          <w:lang w:val="en-GB"/>
        </w:rPr>
        <w:t>.  About the same time that Alexander was founding the Center for Environmental Structure at Berkeley, architectural programming came to be seen as a problem-seeking inquiry, distinct from design as a problem-solving synthesis of facts.</w:t>
      </w:r>
    </w:p>
    <w:p>
      <w:pPr>
        <w:pStyle w:val="Quote"/>
        <w:rPr/>
      </w:pPr>
      <w:r>
        <w:rPr/>
        <w:t xml:space="preserve">Design is problem-solving; programming is problem-seeking.  [....]  the aim of programming is to provide a sound basis for effective design.  The Statement of the Problem represents the essense and the uniqueness of the project.  Futhermore, it suggests the solution to the problem by defining the main issues and giving direction to the designer </w:t>
      </w:r>
      <w:bookmarkStart w:id="4836" w:name="__UnoMark__23618_140394355"/>
      <w:bookmarkStart w:id="4837" w:name="__UnoMark__17398_140394355"/>
      <w:bookmarkStart w:id="4838" w:name="__UnoMark__16012_140394355"/>
      <w:bookmarkStart w:id="4839" w:name="__UnoMark__18560_1880123655"/>
      <w:bookmarkStart w:id="4840" w:name="__UnoMark__17449_1880123655"/>
      <w:bookmarkStart w:id="4841" w:name="ZOTERO_BREF_gJqLavbB8zAH"/>
      <w:bookmarkStart w:id="4842" w:name="__UnoMark__27365_836371768"/>
      <w:bookmarkStart w:id="4843" w:name="__UnoMark__28510_836371768"/>
      <w:bookmarkStart w:id="4844" w:name="__UnoMark__29684_836371768"/>
      <w:bookmarkStart w:id="4845" w:name="__UnoMark__30845_836371768"/>
      <w:bookmarkStart w:id="4846" w:name="__UnoMark__40834_2025191570"/>
      <w:bookmarkStart w:id="4847" w:name="__UnoMark__42050_2025191570"/>
      <w:bookmarkStart w:id="4848" w:name="__UnoMark__43301_2025191570"/>
      <w:bookmarkStart w:id="4849" w:name="__UnoMark__44561_2025191570"/>
      <w:bookmarkStart w:id="4850" w:name="__UnoMark__16300_1880123655"/>
      <w:bookmarkEnd w:id="4850"/>
      <w:r>
        <w:rPr>
          <w:b w:val="false"/>
          <w:i w:val="false"/>
          <w:caps w:val="false"/>
          <w:smallCaps w:val="false"/>
          <w:position w:val="0"/>
          <w:sz w:val="22"/>
          <w:sz w:val="22"/>
          <w:u w:val="none"/>
          <w:vertAlign w:val="baseline"/>
        </w:rPr>
        <w:t>(Peña &amp; Focke, 1969, p. 4)</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r>
        <w:rPr/>
        <w:t xml:space="preserve">. </w:t>
      </w:r>
    </w:p>
    <w:p>
      <w:pPr>
        <w:pStyle w:val="Normal"/>
        <w:rPr/>
      </w:pPr>
      <w:r>
        <w:rPr>
          <w:lang w:val="en-GB"/>
        </w:rPr>
        <w:t xml:space="preserve">Problem definition is contrasted from problem solving, requiring a different attitude and different capabilities.  </w:t>
      </w:r>
    </w:p>
    <w:p>
      <w:pPr>
        <w:pStyle w:val="Normal"/>
        <w:rPr/>
      </w:pPr>
      <w:r>
        <w:rPr>
          <w:lang w:val="en-GB"/>
        </w:rPr>
        <w:t xml:space="preserve">An </w:t>
      </w:r>
      <w:r>
        <w:rPr>
          <w:i/>
          <w:iCs/>
          <w:lang w:val="en-GB"/>
        </w:rPr>
        <w:t>issues</w:t>
      </w:r>
      <w:r>
        <w:rPr>
          <w:lang w:val="en-GB"/>
        </w:rPr>
        <w:t xml:space="preserve"> orientation by Rittel was developed concurrently across campus in Berkeley with Alexander’s pattern language.  The issues-based approach came from an appreciation of how values influence and impact defining problems.</w:t>
      </w:r>
    </w:p>
    <w:p>
      <w:pPr>
        <w:pStyle w:val="Quote"/>
        <w:rPr/>
      </w:pPr>
      <w:r>
        <w:rPr/>
        <w:t xml:space="preserve">We have been learning to ask whether what we are doing is the </w:t>
      </w:r>
      <w:r>
        <w:rPr>
          <w:b/>
          <w:bCs/>
        </w:rPr>
        <w:t>right</w:t>
      </w:r>
      <w:r>
        <w:rPr/>
        <w:t xml:space="preserve"> thing to do. That is to say, we have been learning to ask questions about the </w:t>
      </w:r>
      <w:r>
        <w:rPr>
          <w:b/>
          <w:bCs/>
        </w:rPr>
        <w:t>outputs</w:t>
      </w:r>
      <w:r>
        <w:rPr/>
        <w:t xml:space="preserve"> of actions and to pose problem statements in valuative frameworks. [... It] has become less apparent where problem centers lie, and less apparent where and how we should intervene even if we do happen to know what aims we seek.  [….]</w:t>
      </w:r>
    </w:p>
    <w:p>
      <w:pPr>
        <w:pStyle w:val="Quote"/>
        <w:rPr/>
      </w:pPr>
      <w:r>
        <w:rPr>
          <w:lang w:val="en-GB"/>
        </w:rPr>
        <w:t xml:space="preserve">By now we are all beginning to realize that one of the most intractable problems is that of defining problems (of knowing what distinguishes an observed condition from a desired condition) and of locating problems (finding where in the complex causal networks the trouble really lies). In turn, and equally intractable, is the problem of identifying the actions that might effectively narrow the gap between what-is and what-ought-to-be </w:t>
      </w:r>
      <w:bookmarkStart w:id="4851" w:name="__UnoMark__23619_140394355"/>
      <w:bookmarkStart w:id="4852" w:name="__UnoMark__17399_140394355"/>
      <w:bookmarkStart w:id="4853" w:name="__UnoMark__16013_140394355"/>
      <w:bookmarkStart w:id="4854" w:name="__UnoMark__11259_836371768"/>
      <w:bookmarkStart w:id="4855" w:name="__UnoMark__10218_836371768"/>
      <w:bookmarkStart w:id="4856" w:name="__UnoMark__17347_1880123655"/>
      <w:bookmarkStart w:id="4857" w:name="ZOTERO_BREF_yiXPsMNTz3Kk"/>
      <w:bookmarkStart w:id="4858" w:name="__UnoMark__18561_1880123655"/>
      <w:bookmarkStart w:id="4859" w:name="__UnoMark__27366_836371768"/>
      <w:bookmarkStart w:id="4860" w:name="__UnoMark__28511_836371768"/>
      <w:bookmarkStart w:id="4861" w:name="__UnoMark__29685_836371768"/>
      <w:bookmarkStart w:id="4862" w:name="__UnoMark__30846_836371768"/>
      <w:bookmarkStart w:id="4863" w:name="__UnoMark__40835_2025191570"/>
      <w:bookmarkStart w:id="4864" w:name="__UnoMark__42051_2025191570"/>
      <w:bookmarkStart w:id="4865" w:name="__UnoMark__43302_2025191570"/>
      <w:bookmarkStart w:id="4866" w:name="__UnoMark__44562_2025191570"/>
      <w:r>
        <w:rPr>
          <w:lang w:val="en-GB"/>
        </w:rPr>
        <w:t>(Rittel &amp; Webber, 1973, p. 159)</w:t>
      </w:r>
      <w:bookmarkStart w:id="4867" w:name="__UnoMark__17675_1880123655"/>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r>
        <w:rPr>
          <w:lang w:val="en-GB"/>
        </w:rPr>
        <w:t>.</w:t>
      </w:r>
    </w:p>
    <w:p>
      <w:pPr>
        <w:pStyle w:val="Normal"/>
        <w:rPr/>
      </w:pPr>
      <w:r>
        <w:rPr>
          <w:lang w:val="en-GB"/>
        </w:rPr>
        <w:t xml:space="preserve">This description of wicked problems from Horst Rittel came concurrently with research into IBIS (issue-based information systems) </w:t>
      </w:r>
      <w:bookmarkStart w:id="4868" w:name="__UnoMark__23620_140394355"/>
      <w:bookmarkStart w:id="4869" w:name="__UnoMark__17400_140394355"/>
      <w:bookmarkStart w:id="4870" w:name="__UnoMark__16014_140394355"/>
      <w:bookmarkStart w:id="4871" w:name="ZOTERO_BREF_wXl1kl1XqW1W"/>
      <w:bookmarkStart w:id="4872" w:name="__UnoMark__27367_836371768"/>
      <w:bookmarkStart w:id="4873" w:name="__UnoMark__28512_836371768"/>
      <w:bookmarkStart w:id="4874" w:name="__UnoMark__29686_836371768"/>
      <w:bookmarkStart w:id="4875" w:name="__UnoMark__30847_836371768"/>
      <w:bookmarkStart w:id="4876" w:name="__UnoMark__40836_2025191570"/>
      <w:bookmarkStart w:id="4877" w:name="__UnoMark__42052_2025191570"/>
      <w:bookmarkStart w:id="4878" w:name="__UnoMark__43303_2025191570"/>
      <w:bookmarkStart w:id="4879" w:name="__UnoMark__44563_2025191570"/>
      <w:r>
        <w:rPr>
          <w:lang w:val="en-GB"/>
        </w:rPr>
        <w:t>(Kunz &amp; Rittel, 1970)</w:t>
      </w:r>
      <w:bookmarkEnd w:id="4868"/>
      <w:bookmarkEnd w:id="4869"/>
      <w:bookmarkEnd w:id="4870"/>
      <w:bookmarkEnd w:id="4871"/>
      <w:bookmarkEnd w:id="4872"/>
      <w:bookmarkEnd w:id="4873"/>
      <w:bookmarkEnd w:id="4874"/>
      <w:bookmarkEnd w:id="4875"/>
      <w:bookmarkEnd w:id="4876"/>
      <w:bookmarkEnd w:id="4877"/>
      <w:bookmarkEnd w:id="4878"/>
      <w:bookmarkEnd w:id="4879"/>
      <w:r>
        <w:rPr>
          <w:lang w:val="en-GB"/>
        </w:rPr>
        <w:t xml:space="preserve">.  In the 1960s and 1970s, academic heretics from planning, philosophy, design methods, operations research, management and leadership pioneered different approaches in the "hippie" era, shown in Table 7 </w:t>
      </w:r>
      <w:bookmarkStart w:id="4880" w:name="__UnoMark__23621_140394355"/>
      <w:bookmarkStart w:id="4881" w:name="__UnoMark__17401_140394355"/>
      <w:bookmarkStart w:id="4882" w:name="__UnoMark__16015_140394355"/>
      <w:bookmarkStart w:id="4883" w:name="__UnoMark__15573_836371768"/>
      <w:bookmarkStart w:id="4884" w:name="ZOTERO_BREF_d9PeVJVN2yw4"/>
      <w:bookmarkStart w:id="4885" w:name="__UnoMark__27368_836371768"/>
      <w:bookmarkStart w:id="4886" w:name="__UnoMark__28513_836371768"/>
      <w:bookmarkStart w:id="4887" w:name="__UnoMark__29687_836371768"/>
      <w:bookmarkStart w:id="4888" w:name="__UnoMark__30848_836371768"/>
      <w:bookmarkStart w:id="4889" w:name="__UnoMark__40837_2025191570"/>
      <w:bookmarkStart w:id="4890" w:name="__UnoMark__42053_2025191570"/>
      <w:bookmarkStart w:id="4891" w:name="__UnoMark__43304_2025191570"/>
      <w:bookmarkStart w:id="4892" w:name="__UnoMark__44564_2025191570"/>
      <w:r>
        <w:rPr>
          <w:lang w:val="en-GB"/>
        </w:rPr>
        <w:t>(Culmsee &amp; Awati, 2013, p. 108)</w:t>
      </w:r>
      <w:bookmarkStart w:id="4893" w:name="__UnoMark__15922_836371768"/>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r>
        <w:rPr>
          <w:lang w:val="en-GB"/>
        </w:rPr>
        <w:t>.</w:t>
      </w:r>
    </w:p>
    <w:p>
      <w:pPr>
        <w:pStyle w:val="Caption1"/>
        <w:keepNext/>
        <w:bidi w:val="0"/>
        <w:jc w:val="left"/>
        <w:rPr/>
      </w:pPr>
      <w:r>
        <w:rPr>
          <w:lang w:val="en-GB"/>
        </w:rPr>
        <w:t xml:space="preserve">Table </w:t>
      </w:r>
      <w:r>
        <w:rPr>
          <w:lang w:val="en-GB"/>
        </w:rPr>
        <w:fldChar w:fldCharType="begin"/>
      </w:r>
      <w:r>
        <w:instrText> SEQ Table \* ARABIC </w:instrText>
      </w:r>
      <w:r>
        <w:fldChar w:fldCharType="separate"/>
      </w:r>
      <w:r>
        <w:t>7</w:t>
      </w:r>
      <w:r>
        <w:fldChar w:fldCharType="end"/>
      </w:r>
      <w:r>
        <w:rPr>
          <w:lang w:val="en-GB"/>
        </w:rPr>
        <w:t>: Problem category names, and the people who coined them</w:t>
      </w:r>
    </w:p>
    <w:tbl>
      <w:tblPr>
        <w:tblW w:w="9071" w:type="dxa"/>
        <w:jc w:val="left"/>
        <w:tblInd w:w="13" w:type="dxa"/>
        <w:tblBorders>
          <w:top w:val="single" w:sz="2" w:space="0" w:color="000001"/>
          <w:left w:val="single" w:sz="2" w:space="0" w:color="000001"/>
          <w:bottom w:val="single" w:sz="2" w:space="0" w:color="000001"/>
          <w:insideH w:val="single" w:sz="2" w:space="0" w:color="000001"/>
        </w:tblBorders>
        <w:tblCellMar>
          <w:top w:w="55" w:type="dxa"/>
          <w:left w:w="9" w:type="dxa"/>
          <w:bottom w:w="55" w:type="dxa"/>
          <w:right w:w="55" w:type="dxa"/>
        </w:tblCellMar>
      </w:tblPr>
      <w:tblGrid>
        <w:gridCol w:w="3023"/>
        <w:gridCol w:w="3024"/>
        <w:gridCol w:w="3024"/>
      </w:tblGrid>
      <w:tr>
        <w:trPr>
          <w:tblHeader w:val="true"/>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Heading"/>
              <w:keepNext/>
              <w:rPr>
                <w:i/>
                <w:i/>
                <w:iCs/>
              </w:rPr>
            </w:pPr>
            <w:r>
              <w:rPr>
                <w:i/>
                <w:iCs/>
              </w:rPr>
              <w:t>Hippie</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Heading"/>
              <w:rPr>
                <w:i/>
                <w:i/>
                <w:iCs/>
              </w:rPr>
            </w:pPr>
            <w:r>
              <w:rPr>
                <w:i/>
                <w:iCs/>
              </w:rPr>
              <w:t>Left Extreme</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Heading"/>
              <w:rPr>
                <w:i/>
                <w:i/>
                <w:iCs/>
              </w:rPr>
            </w:pPr>
            <w:r>
              <w:rPr>
                <w:i/>
                <w:iCs/>
              </w:rPr>
              <w:t>Right Extreme</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Rittel/Webber</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Tame problem</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Wicked problem</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Simon</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Programmed decision</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Non Programmed decision</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Ackoff</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Problem</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Mess</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Ravetz</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Technical Problem</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Practical Problem</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Heifetz</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Technical Problem</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Adaptive Problem</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Checkland</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Hard Systems</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Soft Systems</w:t>
            </w:r>
          </w:p>
        </w:tc>
      </w:tr>
      <w:tr>
        <w:trPr/>
        <w:tc>
          <w:tcPr>
            <w:tcW w:w="302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Johnson</w:t>
            </w:r>
          </w:p>
        </w:tc>
        <w:tc>
          <w:tcPr>
            <w:tcW w:w="302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Problems to solve</w:t>
            </w:r>
          </w:p>
        </w:tc>
        <w:tc>
          <w:tcPr>
            <w:tcW w:w="302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Polarities to manage</w:t>
            </w:r>
          </w:p>
        </w:tc>
      </w:tr>
    </w:tbl>
    <w:p>
      <w:pPr>
        <w:pStyle w:val="Normal"/>
        <w:rPr/>
      </w:pPr>
      <w:r>
        <w:rPr>
          <w:lang w:val="en-GB"/>
        </w:rPr>
        <w:br/>
        <w:t>Retrospectively, "hard systems" approaches presuming rationality in decision making were came under attack, particularly in OR (Operations Research).</w:t>
      </w:r>
    </w:p>
    <w:p>
      <w:pPr>
        <w:pStyle w:val="Quote"/>
        <w:rPr/>
      </w:pPr>
      <w:r>
        <w:rPr/>
        <w:t xml:space="preserve">The internal crisis of OR which took place mostly during the 1970s and 1980s was not expressed in these terms, although it can be mapped on to them. Rather the debate was cast in terms of OR's techniques and methodology. Critics such as Ackoff (1979), Checkland (1983) and Churchman (1967) noted the assumption behind standard OR techniques that relevant factors, constraints and the objective function are both established in advance and consensual. Likewise standard formulations of OR methodology (eg: formulate, model, test, solve, implement) took as their foundation the possibility of a single uncontested representation, that of the legitimate decision maker, of the problem situation under consideration. This approach, it has been widely argued, does not prepare OR analysts well for the complexities of the 'swamp' (Schon, 1987). </w:t>
      </w:r>
    </w:p>
    <w:p>
      <w:pPr>
        <w:pStyle w:val="Quote"/>
        <w:bidi w:val="0"/>
        <w:spacing w:before="0" w:after="0"/>
        <w:jc w:val="left"/>
        <w:rPr/>
      </w:pPr>
      <w:r>
        <w:rPr/>
        <w:t>Traditional OR analysis works well when</w:t>
      </w:r>
    </w:p>
    <w:p>
      <w:pPr>
        <w:pStyle w:val="Quote"/>
        <w:numPr>
          <w:ilvl w:val="0"/>
          <w:numId w:val="13"/>
        </w:numPr>
        <w:bidi w:val="0"/>
        <w:spacing w:before="0" w:after="0"/>
        <w:jc w:val="left"/>
        <w:rPr/>
      </w:pPr>
      <w:r>
        <w:rPr/>
        <w:t xml:space="preserve">the client organization is structured as a tight hierarchy, </w:t>
      </w:r>
    </w:p>
    <w:p>
      <w:pPr>
        <w:pStyle w:val="Quote"/>
        <w:numPr>
          <w:ilvl w:val="0"/>
          <w:numId w:val="13"/>
        </w:numPr>
        <w:bidi w:val="0"/>
        <w:spacing w:before="0" w:after="0"/>
        <w:jc w:val="left"/>
        <w:rPr/>
      </w:pPr>
      <w:r>
        <w:rPr/>
        <w:t xml:space="preserve">few of its members are analytically sophisticated, </w:t>
      </w:r>
    </w:p>
    <w:p>
      <w:pPr>
        <w:pStyle w:val="Quote"/>
        <w:numPr>
          <w:ilvl w:val="0"/>
          <w:numId w:val="13"/>
        </w:numPr>
        <w:bidi w:val="0"/>
        <w:spacing w:before="0" w:after="0"/>
        <w:jc w:val="left"/>
        <w:rPr/>
      </w:pPr>
      <w:r>
        <w:rPr/>
        <w:t xml:space="preserve">the organization or relevant unit performs a well-defined repetitive task generating reliable data, </w:t>
      </w:r>
    </w:p>
    <w:p>
      <w:pPr>
        <w:pStyle w:val="Quote"/>
        <w:numPr>
          <w:ilvl w:val="0"/>
          <w:numId w:val="13"/>
        </w:numPr>
        <w:bidi w:val="0"/>
        <w:spacing w:before="0" w:after="0"/>
        <w:jc w:val="left"/>
        <w:rPr/>
      </w:pPr>
      <w:r>
        <w:rPr/>
        <w:t xml:space="preserve">there is general consensus on priorities (Greenberger et al, 1976). </w:t>
      </w:r>
    </w:p>
    <w:p>
      <w:pPr>
        <w:pStyle w:val="Quote"/>
        <w:rPr/>
      </w:pPr>
      <w:r>
        <w:rPr/>
        <w:t xml:space="preserve">These conditions describe reasonably well the circumstances in which decisions need to be taken at middle management levels in many large work organizations, where unilateral control is exercised over uncontentious activities </w:t>
      </w:r>
      <w:bookmarkStart w:id="4894" w:name="__UnoMark__23622_140394355"/>
      <w:bookmarkStart w:id="4895" w:name="__UnoMark__17402_140394355"/>
      <w:bookmarkStart w:id="4896" w:name="__UnoMark__16016_140394355"/>
      <w:bookmarkStart w:id="4897" w:name="ZOTERO_BREF_0Rm3kuj1DwOO"/>
      <w:bookmarkStart w:id="4898" w:name="__UnoMark__27369_836371768"/>
      <w:bookmarkStart w:id="4899" w:name="__UnoMark__28514_836371768"/>
      <w:bookmarkStart w:id="4900" w:name="__UnoMark__29688_836371768"/>
      <w:bookmarkStart w:id="4901" w:name="__UnoMark__30849_836371768"/>
      <w:bookmarkStart w:id="4902" w:name="__UnoMark__40838_2025191570"/>
      <w:bookmarkStart w:id="4903" w:name="__UnoMark__42054_2025191570"/>
      <w:bookmarkStart w:id="4904" w:name="__UnoMark__43305_2025191570"/>
      <w:bookmarkStart w:id="4905" w:name="__UnoMark__44565_2025191570"/>
      <w:r>
        <w:rPr/>
        <w:t>(Rosenhead, 2006, p. 761)</w:t>
      </w:r>
      <w:bookmarkEnd w:id="4894"/>
      <w:bookmarkEnd w:id="4895"/>
      <w:bookmarkEnd w:id="4896"/>
      <w:bookmarkEnd w:id="4897"/>
      <w:bookmarkEnd w:id="4898"/>
      <w:bookmarkEnd w:id="4899"/>
      <w:bookmarkEnd w:id="4900"/>
      <w:bookmarkEnd w:id="4901"/>
      <w:bookmarkEnd w:id="4902"/>
      <w:bookmarkEnd w:id="4903"/>
      <w:bookmarkEnd w:id="4904"/>
      <w:bookmarkEnd w:id="4905"/>
      <w:r>
        <w:rPr/>
        <w:t>.</w:t>
      </w:r>
    </w:p>
    <w:p>
      <w:pPr>
        <w:pStyle w:val="Normal"/>
        <w:rPr/>
      </w:pPr>
      <w:r>
        <w:rPr>
          <w:lang w:val="en-GB"/>
        </w:rPr>
        <w:t>The variety of methods to deal with alternative conditions of complexity have become known in the OR community as Problem Structuring Methods.</w:t>
      </w:r>
    </w:p>
    <w:p>
      <w:pPr>
        <w:pStyle w:val="Quote"/>
        <w:bidi w:val="0"/>
        <w:spacing w:before="0" w:after="0"/>
        <w:jc w:val="left"/>
        <w:rPr/>
      </w:pPr>
      <w:r>
        <w:rPr/>
        <w:t xml:space="preserve">… </w:t>
      </w:r>
      <w:r>
        <w:rPr/>
        <w:t xml:space="preserve">PSMs are appropriate for situations characterized by multiple actors, differing perspectives, partially conflicting interests, signifi- cant intangibles and perplexing uncertainties. They can operate in such contexts because they </w:t>
      </w:r>
    </w:p>
    <w:p>
      <w:pPr>
        <w:pStyle w:val="Quote"/>
        <w:numPr>
          <w:ilvl w:val="0"/>
          <w:numId w:val="14"/>
        </w:numPr>
        <w:bidi w:val="0"/>
        <w:spacing w:before="0" w:after="0"/>
        <w:jc w:val="left"/>
        <w:rPr/>
      </w:pPr>
      <w:r>
        <w:rPr/>
        <w:t>are designed for deployment in a group format,</w:t>
      </w:r>
    </w:p>
    <w:p>
      <w:pPr>
        <w:pStyle w:val="Quote"/>
        <w:numPr>
          <w:ilvl w:val="0"/>
          <w:numId w:val="14"/>
        </w:numPr>
        <w:bidi w:val="0"/>
        <w:spacing w:before="0" w:after="0"/>
        <w:jc w:val="left"/>
        <w:rPr/>
      </w:pPr>
      <w:r>
        <w:rPr/>
        <w:t>permit the simultaneous consideration of alternative perspectives,</w:t>
      </w:r>
    </w:p>
    <w:p>
      <w:pPr>
        <w:pStyle w:val="Quote"/>
        <w:numPr>
          <w:ilvl w:val="0"/>
          <w:numId w:val="14"/>
        </w:numPr>
        <w:bidi w:val="0"/>
        <w:spacing w:before="0" w:after="0"/>
        <w:jc w:val="left"/>
        <w:rPr/>
      </w:pPr>
      <w:r>
        <w:rPr/>
        <w:t xml:space="preserve">are participative in nature, with interaction among participants, and between participant and facilitator(s), </w:t>
      </w:r>
    </w:p>
    <w:p>
      <w:pPr>
        <w:pStyle w:val="Quote"/>
        <w:numPr>
          <w:ilvl w:val="0"/>
          <w:numId w:val="14"/>
        </w:numPr>
        <w:bidi w:val="0"/>
        <w:spacing w:before="0" w:after="0"/>
        <w:jc w:val="left"/>
        <w:rPr/>
      </w:pPr>
      <w:r>
        <w:rPr/>
        <w:t>iterate between analysis of judgmental inputs and the application of judgement to analytic outputs,</w:t>
      </w:r>
    </w:p>
    <w:p>
      <w:pPr>
        <w:pStyle w:val="Quote"/>
        <w:numPr>
          <w:ilvl w:val="0"/>
          <w:numId w:val="14"/>
        </w:numPr>
        <w:bidi w:val="0"/>
        <w:spacing w:before="0" w:after="0"/>
        <w:jc w:val="left"/>
        <w:rPr/>
      </w:pPr>
      <w:r>
        <w:rPr/>
        <w:t>allow closure when participants are satisfied with the progress achieved, rather than requiring commitment to a comprehensive solution of all the interacting strands that make up the problematic situation.</w:t>
      </w:r>
    </w:p>
    <w:p>
      <w:pPr>
        <w:pStyle w:val="Quote"/>
        <w:rPr/>
      </w:pPr>
      <w:r>
        <w:rPr/>
        <w:t xml:space="preserve">Evidently, methods like this can only work if those people who must in some way take responsibility for acting on the commitments reached (whether to implement particular aspects of an agreed scheme of action, or to recommend them to the relevant decision makers) are willing to invest very substantial amounts of their time. The dynamics of group decision-making is such that with a problem of any complexity and a group of non-trivial size it will be unusual to reach closure in under a full day </w:t>
      </w:r>
      <w:bookmarkStart w:id="4906" w:name="__UnoMark__23623_140394355"/>
      <w:bookmarkStart w:id="4907" w:name="__UnoMark__17403_140394355"/>
      <w:bookmarkStart w:id="4908" w:name="__UnoMark__16017_140394355"/>
      <w:bookmarkStart w:id="4909" w:name="ZOTERO_BREF_QAVLwRIRBrEi"/>
      <w:bookmarkStart w:id="4910" w:name="__UnoMark__27370_836371768"/>
      <w:bookmarkStart w:id="4911" w:name="__UnoMark__28515_836371768"/>
      <w:bookmarkStart w:id="4912" w:name="__UnoMark__29689_836371768"/>
      <w:bookmarkStart w:id="4913" w:name="__UnoMark__30850_836371768"/>
      <w:bookmarkStart w:id="4914" w:name="__UnoMark__40839_2025191570"/>
      <w:bookmarkStart w:id="4915" w:name="__UnoMark__42055_2025191570"/>
      <w:bookmarkStart w:id="4916" w:name="__UnoMark__43306_2025191570"/>
      <w:bookmarkStart w:id="4917" w:name="__UnoMark__44566_2025191570"/>
      <w:r>
        <w:rPr/>
        <w:t>(Rosenhead, 2006, p. 762)</w:t>
      </w:r>
      <w:bookmarkEnd w:id="4906"/>
      <w:bookmarkEnd w:id="4907"/>
      <w:bookmarkEnd w:id="4908"/>
      <w:bookmarkEnd w:id="4909"/>
      <w:bookmarkEnd w:id="4910"/>
      <w:bookmarkEnd w:id="4911"/>
      <w:bookmarkEnd w:id="4912"/>
      <w:bookmarkEnd w:id="4913"/>
      <w:bookmarkEnd w:id="4914"/>
      <w:bookmarkEnd w:id="4915"/>
      <w:bookmarkEnd w:id="4916"/>
      <w:bookmarkEnd w:id="4917"/>
      <w:r>
        <w:rPr/>
        <w:t>.</w:t>
      </w:r>
    </w:p>
    <w:p>
      <w:pPr>
        <w:pStyle w:val="Normal"/>
        <w:rPr/>
      </w:pPr>
      <w:r>
        <w:rPr>
          <w:lang w:val="en-GB"/>
        </w:rPr>
        <w:t>One approach coming from OR/MS (Operations Research / Management Science) has been to use Problem Structuring Methods.  However, attempts to structuring problems as recurring patterns that are invariant lead to challenges similar as with structuring solutions.  For a solution to a problem to be repeatable, the context would also have to be recur exactly.  Thus, problem structuring methods (PSMs) can be criticized as unresponsive to variances in context in the real world.</w:t>
      </w:r>
    </w:p>
    <w:p>
      <w:pPr>
        <w:pStyle w:val="Quote"/>
        <w:rPr/>
      </w:pPr>
      <w:r>
        <w:rPr/>
        <w:t xml:space="preserve">In the human tribe, a single logic only occasionally rules, and multiple ways of seeing any situation exist, not one of which is unequivocally prime unless power structures (foolishly) make it so. This was the milieu in which 'problem structuring methods' emerged (… a misleading phrase since SSM, SC and SODA are all focussed on 'action to improve' not simply on structuring). All three treat models only as intellectual devices ... and put emphasis on intellectual processes in which a group of people will use the devices to help with sense-making in the search for action. It is this emphasis on process ... that has resulted in SSM, SCA and SODA being deemed 'soft' approaches as compared with the 'hard' approaches of the 1950s and 1960s where process is relatively neglected. [….]  Thus, in an SSM study, the practitioner-group can decide: 'In this situation, with this group, in this organiz tion with its history, now, useful action would be to engineer a system to do X'. </w:t>
      </w:r>
      <w:bookmarkStart w:id="4918" w:name="__UnoMark__23624_140394355"/>
      <w:bookmarkStart w:id="4919" w:name="__UnoMark__17404_140394355"/>
      <w:bookmarkStart w:id="4920" w:name="__UnoMark__16018_140394355"/>
      <w:bookmarkStart w:id="4921" w:name="__UnoMark__18458_1880123655"/>
      <w:bookmarkStart w:id="4922" w:name="ZOTERO_BREF_9WS1EQPmDWZp"/>
      <w:bookmarkStart w:id="4923" w:name="__UnoMark__27371_836371768"/>
      <w:bookmarkStart w:id="4924" w:name="__UnoMark__28516_836371768"/>
      <w:bookmarkStart w:id="4925" w:name="__UnoMark__29690_836371768"/>
      <w:bookmarkStart w:id="4926" w:name="__UnoMark__30851_836371768"/>
      <w:bookmarkStart w:id="4927" w:name="__UnoMark__40840_2025191570"/>
      <w:bookmarkStart w:id="4928" w:name="__UnoMark__42056_2025191570"/>
      <w:bookmarkStart w:id="4929" w:name="__UnoMark__43307_2025191570"/>
      <w:bookmarkStart w:id="4930" w:name="__UnoMark__44567_2025191570"/>
      <w:r>
        <w:rPr/>
        <w:t>(Checkland, 2006, p. 770)</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r>
        <w:rPr/>
        <w:t>.</w:t>
      </w:r>
    </w:p>
    <w:p>
      <w:pPr>
        <w:pStyle w:val="Normal"/>
        <w:rPr/>
      </w:pPr>
      <w:r>
        <w:rPr>
          <w:lang w:val="en-GB"/>
        </w:rPr>
        <w:t xml:space="preserve">While architects and designer can be seen as practising an art, soft OR (operations research) approaches introduce methods associated informed by social systems science.  Soft Systems Methodology (SSM) extends systems engineering approach divergent views about the definition of problems in complex situations </w:t>
      </w:r>
      <w:bookmarkStart w:id="4931" w:name="__UnoMark__23625_140394355"/>
      <w:bookmarkStart w:id="4932" w:name="__UnoMark__17405_140394355"/>
      <w:bookmarkStart w:id="4933" w:name="__UnoMark__16019_140394355"/>
      <w:bookmarkStart w:id="4934" w:name="ZOTERO_BREF_x0p20H4vMDHD"/>
      <w:bookmarkStart w:id="4935" w:name="__UnoMark__27372_836371768"/>
      <w:bookmarkStart w:id="4936" w:name="__UnoMark__28517_836371768"/>
      <w:bookmarkStart w:id="4937" w:name="__UnoMark__29691_836371768"/>
      <w:bookmarkStart w:id="4938" w:name="__UnoMark__30852_836371768"/>
      <w:bookmarkStart w:id="4939" w:name="__UnoMark__40841_2025191570"/>
      <w:bookmarkStart w:id="4940" w:name="__UnoMark__42057_2025191570"/>
      <w:bookmarkStart w:id="4941" w:name="__UnoMark__43308_2025191570"/>
      <w:bookmarkStart w:id="4942" w:name="__UnoMark__44568_2025191570"/>
      <w:r>
        <w:rPr>
          <w:lang w:val="en-GB"/>
        </w:rPr>
        <w:t>(Checkland &amp; Poulter, 2010)</w:t>
      </w:r>
      <w:bookmarkEnd w:id="4931"/>
      <w:bookmarkEnd w:id="4932"/>
      <w:bookmarkEnd w:id="4933"/>
      <w:bookmarkEnd w:id="4934"/>
      <w:bookmarkEnd w:id="4935"/>
      <w:bookmarkEnd w:id="4936"/>
      <w:bookmarkEnd w:id="4937"/>
      <w:bookmarkEnd w:id="4938"/>
      <w:bookmarkEnd w:id="4939"/>
      <w:bookmarkEnd w:id="4940"/>
      <w:bookmarkEnd w:id="4941"/>
      <w:bookmarkEnd w:id="4942"/>
      <w:r>
        <w:rPr>
          <w:lang w:val="en-GB"/>
        </w:rPr>
        <w:t xml:space="preserve">.  The Strategic Choice Approach (SCA) uses face-to-face workshops to balance decisions on flexibility and commitment, recognizing uncertainties (i) in the working environment, (ii)  with guiding values, and (iii) related choices </w:t>
      </w:r>
      <w:bookmarkStart w:id="4943" w:name="__UnoMark__23626_140394355"/>
      <w:bookmarkStart w:id="4944" w:name="__UnoMark__17406_140394355"/>
      <w:bookmarkStart w:id="4945" w:name="__UnoMark__16020_140394355"/>
      <w:bookmarkStart w:id="4946" w:name="ZOTERO_BREF_iSsGrvkeqRJw"/>
      <w:bookmarkStart w:id="4947" w:name="__UnoMark__27373_836371768"/>
      <w:bookmarkStart w:id="4948" w:name="__UnoMark__28518_836371768"/>
      <w:bookmarkStart w:id="4949" w:name="__UnoMark__29692_836371768"/>
      <w:bookmarkStart w:id="4950" w:name="__UnoMark__30853_836371768"/>
      <w:bookmarkStart w:id="4951" w:name="__UnoMark__40842_2025191570"/>
      <w:bookmarkStart w:id="4952" w:name="__UnoMark__42058_2025191570"/>
      <w:bookmarkStart w:id="4953" w:name="__UnoMark__43309_2025191570"/>
      <w:bookmarkStart w:id="4954" w:name="__UnoMark__44569_2025191570"/>
      <w:r>
        <w:rPr>
          <w:lang w:val="en-GB"/>
        </w:rPr>
        <w:t>(Friend, 2006)</w:t>
      </w:r>
      <w:bookmarkEnd w:id="4943"/>
      <w:bookmarkEnd w:id="4944"/>
      <w:bookmarkEnd w:id="4945"/>
      <w:bookmarkEnd w:id="4946"/>
      <w:bookmarkEnd w:id="4947"/>
      <w:bookmarkEnd w:id="4948"/>
      <w:bookmarkEnd w:id="4949"/>
      <w:bookmarkEnd w:id="4950"/>
      <w:bookmarkEnd w:id="4951"/>
      <w:bookmarkEnd w:id="4952"/>
      <w:bookmarkEnd w:id="4953"/>
      <w:bookmarkEnd w:id="4954"/>
      <w:r>
        <w:rPr>
          <w:lang w:val="en-GB"/>
        </w:rPr>
        <w:t xml:space="preserve">.  Strategic Options Development and Analysis (SODA) enables a group to create a graphical representation (i.e. causal map) to explore options and explore ramifications in a complex set of goals or objectives </w:t>
      </w:r>
      <w:bookmarkStart w:id="4955" w:name="__UnoMark__23627_140394355"/>
      <w:bookmarkStart w:id="4956" w:name="__UnoMark__17407_140394355"/>
      <w:bookmarkStart w:id="4957" w:name="__UnoMark__16021_140394355"/>
      <w:bookmarkStart w:id="4958" w:name="ZOTERO_BREF_1PFAi7oSP0nr"/>
      <w:bookmarkStart w:id="4959" w:name="__UnoMark__27374_836371768"/>
      <w:bookmarkStart w:id="4960" w:name="__UnoMark__28519_836371768"/>
      <w:bookmarkStart w:id="4961" w:name="__UnoMark__29693_836371768"/>
      <w:bookmarkStart w:id="4962" w:name="__UnoMark__30854_836371768"/>
      <w:bookmarkStart w:id="4963" w:name="__UnoMark__40843_2025191570"/>
      <w:bookmarkStart w:id="4964" w:name="__UnoMark__42059_2025191570"/>
      <w:bookmarkStart w:id="4965" w:name="__UnoMark__43310_2025191570"/>
      <w:bookmarkStart w:id="4966" w:name="__UnoMark__44570_2025191570"/>
      <w:r>
        <w:rPr>
          <w:lang w:val="en-GB"/>
        </w:rPr>
        <w:t>(Ackermann &amp; Eden, 2010)</w:t>
      </w:r>
      <w:bookmarkEnd w:id="4955"/>
      <w:bookmarkEnd w:id="4956"/>
      <w:bookmarkEnd w:id="4957"/>
      <w:bookmarkEnd w:id="4958"/>
      <w:bookmarkEnd w:id="4959"/>
      <w:bookmarkEnd w:id="4960"/>
      <w:bookmarkEnd w:id="4961"/>
      <w:bookmarkEnd w:id="4962"/>
      <w:bookmarkEnd w:id="4963"/>
      <w:bookmarkEnd w:id="4964"/>
      <w:bookmarkEnd w:id="4965"/>
      <w:bookmarkEnd w:id="4966"/>
      <w:r>
        <w:rPr>
          <w:lang w:val="en-GB"/>
        </w:rPr>
        <w:t>.</w:t>
      </w:r>
    </w:p>
    <w:p>
      <w:pPr>
        <w:pStyle w:val="Normal"/>
        <w:rPr/>
      </w:pPr>
      <w:r>
        <w:rPr>
          <w:lang w:val="en-GB"/>
        </w:rPr>
        <w:t>Service systems thinking leads the definition of stakeholders who will and will not be served, and how well they will be served.  Each stakeholder will come to a provider with a different set of issues, some that can be predicted and routinely handled, while other unanticipated requests require special attention.  Consciously deciding on the scale, scope and speed of offerings available to stakeholders reflects an attitude expansive to issue-seeking, rather than an attitude reductive to problem-solving.</w:t>
      </w:r>
    </w:p>
    <w:p>
      <w:pPr>
        <w:pStyle w:val="Heading3"/>
        <w:numPr>
          <w:ilvl w:val="2"/>
          <w:numId w:val="2"/>
        </w:numPr>
        <w:rPr/>
      </w:pPr>
      <w:r>
        <w:rPr>
          <w:lang w:val="en-GB"/>
        </w:rPr>
        <w:t>From quality-wholeness to interactive value</w:t>
      </w:r>
    </w:p>
    <w:p>
      <w:pPr>
        <w:pStyle w:val="Normal"/>
        <w:rPr/>
      </w:pPr>
      <w:r>
        <w:rPr>
          <w:lang w:val="en-GB"/>
        </w:rPr>
        <w:t>With pattern language as a means, it’s hard to argue with nobility of an ends pursuing quality.  However, questions rapidly surface.  What is meant by quality?  Is quality something that can be built into a thing itself, or is it dependent on the interaction?  Here is a major distinction between the practicality of (i) quality in a built environment, and (ii) quality in a service system.</w:t>
      </w:r>
    </w:p>
    <w:p>
      <w:pPr>
        <w:pStyle w:val="Normal"/>
        <w:rPr/>
      </w:pPr>
      <w:r>
        <w:rPr>
          <w:i/>
          <w:iCs/>
          <w:lang w:val="en-GB"/>
        </w:rPr>
        <w:t>Quality in a built environment</w:t>
      </w:r>
      <w:r>
        <w:rPr>
          <w:lang w:val="en-GB"/>
        </w:rPr>
        <w:t xml:space="preserve">, from Alexander’s philosophy, is something that can be generated with the pattern language into the physical structure.  At the publication of </w:t>
      </w:r>
      <w:r>
        <w:rPr>
          <w:i/>
          <w:iCs/>
          <w:lang w:val="en-GB"/>
        </w:rPr>
        <w:t>The Timeless Way of Building</w:t>
      </w:r>
      <w:r>
        <w:rPr>
          <w:lang w:val="en-GB"/>
        </w:rPr>
        <w:t xml:space="preserve">, "quality without a name" could be summarized as “an objective quality that things like buildings and places can possess that makes them good places or beautiful places. Buildings and towns with this quality are habitable and alive” </w:t>
      </w:r>
      <w:bookmarkStart w:id="4967" w:name="__UnoMark__23628_140394355"/>
      <w:bookmarkStart w:id="4968" w:name="__UnoMark__17408_140394355"/>
      <w:bookmarkStart w:id="4969" w:name="__UnoMark__16022_140394355"/>
      <w:bookmarkStart w:id="4970" w:name="ZOTERO_BREF_nHsEeLuSHtaS"/>
      <w:bookmarkStart w:id="4971" w:name="__UnoMark__27375_836371768"/>
      <w:bookmarkStart w:id="4972" w:name="__UnoMark__28520_836371768"/>
      <w:bookmarkStart w:id="4973" w:name="__UnoMark__29694_836371768"/>
      <w:bookmarkStart w:id="4974" w:name="__UnoMark__30855_836371768"/>
      <w:bookmarkStart w:id="4975" w:name="__UnoMark__40844_2025191570"/>
      <w:bookmarkStart w:id="4976" w:name="__UnoMark__42060_2025191570"/>
      <w:bookmarkStart w:id="4977" w:name="__UnoMark__43311_2025191570"/>
      <w:bookmarkStart w:id="4978" w:name="__UnoMark__44571_2025191570"/>
      <w:r>
        <w:rPr>
          <w:lang w:val="en-GB"/>
        </w:rPr>
        <w:t>(Gabriel, 1996, p. 34)</w:t>
      </w:r>
      <w:bookmarkEnd w:id="4967"/>
      <w:bookmarkEnd w:id="4968"/>
      <w:bookmarkEnd w:id="4969"/>
      <w:bookmarkEnd w:id="4970"/>
      <w:bookmarkEnd w:id="4971"/>
      <w:bookmarkEnd w:id="4972"/>
      <w:bookmarkEnd w:id="4973"/>
      <w:bookmarkEnd w:id="4974"/>
      <w:bookmarkEnd w:id="4975"/>
      <w:bookmarkEnd w:id="4976"/>
      <w:bookmarkEnd w:id="4977"/>
      <w:bookmarkEnd w:id="4978"/>
      <w:r>
        <w:rPr>
          <w:lang w:val="en-GB"/>
        </w:rPr>
        <w:t xml:space="preserve">.  Alternative words of alive, whole, comfortable, free, exact, egoless and external were proposed by Alexander, with "quality without a name" becoming the key label. “There is a central quality which is the root criterion of life and spirit in a man, a town, a building, or a wilderness.  This quality is objective and precise, but it cannot be named’ </w:t>
      </w:r>
      <w:bookmarkStart w:id="4979" w:name="__UnoMark__23629_140394355"/>
      <w:bookmarkStart w:id="4980" w:name="__UnoMark__17409_140394355"/>
      <w:bookmarkStart w:id="4981" w:name="__UnoMark__16023_140394355"/>
      <w:bookmarkStart w:id="4982" w:name="ZOTERO_BREF_dXTZYiey9gU7"/>
      <w:bookmarkStart w:id="4983" w:name="__UnoMark__27376_836371768"/>
      <w:bookmarkStart w:id="4984" w:name="__UnoMark__28521_836371768"/>
      <w:bookmarkStart w:id="4985" w:name="__UnoMark__29695_836371768"/>
      <w:bookmarkStart w:id="4986" w:name="__UnoMark__30856_836371768"/>
      <w:bookmarkStart w:id="4987" w:name="__UnoMark__40845_2025191570"/>
      <w:bookmarkStart w:id="4988" w:name="__UnoMark__42061_2025191570"/>
      <w:bookmarkStart w:id="4989" w:name="__UnoMark__43312_2025191570"/>
      <w:bookmarkStart w:id="4990" w:name="__UnoMark__44572_2025191570"/>
      <w:r>
        <w:rPr>
          <w:lang w:val="en-GB"/>
        </w:rPr>
        <w:t>(Alexander, 1979, p. ix)</w:t>
      </w:r>
      <w:bookmarkEnd w:id="4979"/>
      <w:bookmarkEnd w:id="4980"/>
      <w:bookmarkEnd w:id="4981"/>
      <w:bookmarkEnd w:id="4982"/>
      <w:bookmarkEnd w:id="4983"/>
      <w:bookmarkEnd w:id="4984"/>
      <w:bookmarkEnd w:id="4985"/>
      <w:bookmarkEnd w:id="4986"/>
      <w:bookmarkEnd w:id="4987"/>
      <w:bookmarkEnd w:id="4988"/>
      <w:bookmarkEnd w:id="4989"/>
      <w:bookmarkEnd w:id="4990"/>
      <w:r>
        <w:rPr>
          <w:lang w:val="en-GB"/>
        </w:rPr>
        <w:t xml:space="preserve">.  In reconsidering a quality without a name in software development, the challenge of separating fact from value (and science from philosophy) in the 17th and 18th centuries was being reversed: “Alexander stepped forward and tried to reverse the separation of fact from value. His program was not only to find patterns that explain the existence of the quality without a name but also to find patterns that generate objects with that quality. Furthermore, the patterns themselves must demonstrate the same quality” </w:t>
      </w:r>
      <w:bookmarkStart w:id="4991" w:name="__UnoMark__23630_140394355"/>
      <w:bookmarkStart w:id="4992" w:name="__UnoMark__17410_140394355"/>
      <w:bookmarkStart w:id="4993" w:name="__UnoMark__16024_140394355"/>
      <w:bookmarkStart w:id="4994" w:name="ZOTERO_BREF_DbZiTIpVcHTB"/>
      <w:bookmarkStart w:id="4995" w:name="__UnoMark__27377_836371768"/>
      <w:bookmarkStart w:id="4996" w:name="__UnoMark__28522_836371768"/>
      <w:bookmarkStart w:id="4997" w:name="__UnoMark__29696_836371768"/>
      <w:bookmarkStart w:id="4998" w:name="__UnoMark__30857_836371768"/>
      <w:bookmarkStart w:id="4999" w:name="__UnoMark__40846_2025191570"/>
      <w:bookmarkStart w:id="5000" w:name="__UnoMark__42062_2025191570"/>
      <w:bookmarkStart w:id="5001" w:name="__UnoMark__43313_2025191570"/>
      <w:bookmarkStart w:id="5002" w:name="__UnoMark__44573_2025191570"/>
      <w:r>
        <w:rPr>
          <w:lang w:val="en-GB"/>
        </w:rPr>
        <w:t>(Gabriel, 1996, p. 39)</w:t>
      </w:r>
      <w:bookmarkEnd w:id="4991"/>
      <w:bookmarkEnd w:id="4992"/>
      <w:bookmarkEnd w:id="4993"/>
      <w:bookmarkEnd w:id="4994"/>
      <w:bookmarkEnd w:id="4995"/>
      <w:bookmarkEnd w:id="4996"/>
      <w:bookmarkEnd w:id="4997"/>
      <w:bookmarkEnd w:id="4998"/>
      <w:bookmarkEnd w:id="4999"/>
      <w:bookmarkEnd w:id="5000"/>
      <w:bookmarkEnd w:id="5001"/>
      <w:bookmarkEnd w:id="5002"/>
      <w:r>
        <w:rPr>
          <w:lang w:val="en-GB"/>
        </w:rPr>
        <w:t>.</w:t>
      </w:r>
    </w:p>
    <w:p>
      <w:pPr>
        <w:pStyle w:val="Normal"/>
        <w:rPr/>
      </w:pPr>
      <w:r>
        <w:rPr>
          <w:lang w:val="en-GB"/>
        </w:rPr>
        <w:t xml:space="preserve">A program could therefore be seen as either quality-generating with a positive effect, or quality-degenerating with a negative effect.  </w:t>
      </w:r>
      <w:r>
        <w:rPr>
          <w:color w:val="00000A"/>
          <w:lang w:val="en-GB"/>
        </w:rPr>
        <w:t xml:space="preserve">Within this paradigm, an objective meaning for quality should coincide with a common appreciation, either favourable or unfavourable, across casual visitors, inhabitants and craftsmen.  This phenomenological view of quality, for the craftsman, occurs with the practice of poiesis. </w:t>
      </w:r>
    </w:p>
    <w:p>
      <w:pPr>
        <w:pStyle w:val="Quote"/>
        <w:rPr/>
      </w:pPr>
      <w:r>
        <w:rPr/>
        <w:t xml:space="preserve">Until about a hundred years ago, the cultivating and nurturing practices of poiesis organized a central way things mattered. The poietic style manifested itself, among other places, in the craftsman’s skills for bringing things out at their best. [....]  This cultivating, craftsman-like, poietic understanding of how to bring out meanings at their best was alive and well into the late nineteenth century, but it is under attack in our technological age </w:t>
      </w:r>
      <w:bookmarkStart w:id="5003" w:name="__UnoMark__23631_140394355"/>
      <w:bookmarkStart w:id="5004" w:name="__UnoMark__17411_140394355"/>
      <w:bookmarkStart w:id="5005" w:name="__UnoMark__16025_140394355"/>
      <w:bookmarkStart w:id="5006" w:name="ZOTERO_BREF_diYCOiIgDdQe"/>
      <w:bookmarkStart w:id="5007" w:name="__UnoMark__27380_836371768"/>
      <w:bookmarkStart w:id="5008" w:name="__UnoMark__28525_836371768"/>
      <w:bookmarkStart w:id="5009" w:name="__UnoMark__29699_836371768"/>
      <w:bookmarkStart w:id="5010" w:name="__UnoMark__30860_836371768"/>
      <w:bookmarkStart w:id="5011" w:name="__UnoMark__40847_2025191570"/>
      <w:bookmarkStart w:id="5012" w:name="__UnoMark__42063_2025191570"/>
      <w:bookmarkStart w:id="5013" w:name="__UnoMark__43314_2025191570"/>
      <w:bookmarkStart w:id="5014" w:name="__UnoMark__44574_2025191570"/>
      <w:r>
        <w:rPr/>
        <w:t>(Dreyfus &amp; Kelly, 2011, p. 206)</w:t>
      </w:r>
      <w:bookmarkEnd w:id="5003"/>
      <w:bookmarkEnd w:id="5004"/>
      <w:bookmarkEnd w:id="5005"/>
      <w:bookmarkEnd w:id="5006"/>
      <w:bookmarkEnd w:id="5007"/>
      <w:bookmarkEnd w:id="5008"/>
      <w:bookmarkEnd w:id="5009"/>
      <w:bookmarkEnd w:id="5010"/>
      <w:bookmarkEnd w:id="5011"/>
      <w:bookmarkEnd w:id="5012"/>
      <w:bookmarkEnd w:id="5013"/>
      <w:bookmarkEnd w:id="5014"/>
      <w:r>
        <w:rPr/>
        <w:t xml:space="preserve">.  </w:t>
      </w:r>
    </w:p>
    <w:p>
      <w:pPr>
        <w:pStyle w:val="Normal"/>
        <w:rPr/>
      </w:pPr>
      <w:r>
        <w:rPr>
          <w:color w:val="00000A"/>
          <w:lang w:val="en-GB"/>
        </w:rPr>
        <w:t xml:space="preserve">This Dreyfus-Kelly view departs from in </w:t>
      </w:r>
      <w:r>
        <w:rPr>
          <w:i/>
          <w:iCs/>
          <w:color w:val="00000A"/>
          <w:lang w:val="en-GB"/>
        </w:rPr>
        <w:t>Zen and the Art of Motorcycle Maintenance</w:t>
      </w:r>
      <w:r>
        <w:rPr>
          <w:color w:val="00000A"/>
          <w:lang w:val="en-GB"/>
        </w:rPr>
        <w:t xml:space="preserve"> </w:t>
      </w:r>
      <w:bookmarkStart w:id="5015" w:name="__UnoMark__23632_140394355"/>
      <w:bookmarkStart w:id="5016" w:name="__UnoMark__17412_140394355"/>
      <w:bookmarkStart w:id="5017" w:name="__UnoMark__16026_140394355"/>
      <w:bookmarkStart w:id="5018" w:name="ZOTERO_BREF_zVKQ7OntOShd"/>
      <w:bookmarkStart w:id="5019" w:name="__UnoMark__27261_836371768"/>
      <w:bookmarkStart w:id="5020" w:name="__UnoMark__28526_836371768"/>
      <w:bookmarkStart w:id="5021" w:name="__UnoMark__29700_836371768"/>
      <w:bookmarkStart w:id="5022" w:name="__UnoMark__30861_836371768"/>
      <w:bookmarkStart w:id="5023" w:name="__UnoMark__40848_2025191570"/>
      <w:bookmarkStart w:id="5024" w:name="__UnoMark__42064_2025191570"/>
      <w:bookmarkStart w:id="5025" w:name="__UnoMark__43315_2025191570"/>
      <w:bookmarkStart w:id="5026" w:name="__UnoMark__44575_2025191570"/>
      <w:r>
        <w:rPr>
          <w:color w:val="00000A"/>
          <w:lang w:val="en-GB"/>
        </w:rPr>
        <w:t>(Pirsig, 1974)</w:t>
      </w:r>
      <w:bookmarkEnd w:id="5015"/>
      <w:bookmarkEnd w:id="5016"/>
      <w:bookmarkEnd w:id="5017"/>
      <w:bookmarkEnd w:id="5018"/>
      <w:bookmarkEnd w:id="5019"/>
      <w:bookmarkEnd w:id="5020"/>
      <w:bookmarkEnd w:id="5021"/>
      <w:bookmarkEnd w:id="5022"/>
      <w:bookmarkEnd w:id="5023"/>
      <w:bookmarkEnd w:id="5024"/>
      <w:bookmarkEnd w:id="5025"/>
      <w:bookmarkEnd w:id="5026"/>
      <w:r>
        <w:rPr>
          <w:color w:val="00000A"/>
          <w:lang w:val="en-GB"/>
        </w:rPr>
        <w:t xml:space="preserve"> and the </w:t>
      </w:r>
      <w:r>
        <w:rPr>
          <w:i/>
          <w:iCs/>
          <w:color w:val="00000A"/>
          <w:lang w:val="en-GB"/>
        </w:rPr>
        <w:t>Shop Class as Soulcraft</w:t>
      </w:r>
      <w:r>
        <w:rPr>
          <w:color w:val="00000A"/>
          <w:lang w:val="en-GB"/>
        </w:rPr>
        <w:t xml:space="preserve"> </w:t>
      </w:r>
      <w:bookmarkStart w:id="5027" w:name="__UnoMark__23633_140394355"/>
      <w:bookmarkStart w:id="5028" w:name="__UnoMark__17413_140394355"/>
      <w:bookmarkStart w:id="5029" w:name="__UnoMark__16027_140394355"/>
      <w:bookmarkStart w:id="5030" w:name="__UnoMark__27263_836371768"/>
      <w:bookmarkStart w:id="5031" w:name="ZOTERO_BREF_Ecmk8EOXOGkq"/>
      <w:bookmarkStart w:id="5032" w:name="__UnoMark__28527_836371768"/>
      <w:bookmarkStart w:id="5033" w:name="__UnoMark__29701_836371768"/>
      <w:bookmarkStart w:id="5034" w:name="__UnoMark__30862_836371768"/>
      <w:bookmarkStart w:id="5035" w:name="__UnoMark__40849_2025191570"/>
      <w:bookmarkStart w:id="5036" w:name="__UnoMark__42065_2025191570"/>
      <w:bookmarkStart w:id="5037" w:name="__UnoMark__43316_2025191570"/>
      <w:bookmarkStart w:id="5038" w:name="__UnoMark__44576_2025191570"/>
      <w:r>
        <w:rPr>
          <w:color w:val="00000A"/>
          <w:lang w:val="en-GB"/>
        </w:rPr>
        <w:t>(Crawford, 2009)</w:t>
      </w:r>
      <w:bookmarkEnd w:id="5027"/>
      <w:bookmarkEnd w:id="5028"/>
      <w:bookmarkEnd w:id="5029"/>
      <w:bookmarkEnd w:id="5030"/>
      <w:bookmarkEnd w:id="5031"/>
      <w:bookmarkEnd w:id="5032"/>
      <w:bookmarkEnd w:id="5033"/>
      <w:bookmarkEnd w:id="5034"/>
      <w:bookmarkEnd w:id="5035"/>
      <w:bookmarkEnd w:id="5036"/>
      <w:bookmarkEnd w:id="5037"/>
      <w:bookmarkEnd w:id="5038"/>
      <w:r>
        <w:rPr>
          <w:color w:val="00000A"/>
          <w:lang w:val="en-GB"/>
        </w:rPr>
        <w:t xml:space="preserve"> philosophies, although they also have skill associated with meaning.  In a footnote:  </w:t>
      </w:r>
    </w:p>
    <w:p>
      <w:pPr>
        <w:pStyle w:val="Quote"/>
        <w:rPr/>
      </w:pPr>
      <w:r>
        <w:rPr/>
        <w:t xml:space="preserve">xiv. [....] We are sympathetic with all of these writers, but they remain firmly entrenched in the monotheistic philosophical tradition.  Pirsig, like Plato, finds an abstract source of meaning in what he calls ‘Quality’.  Crawford, like Aristotle, reacts by emphasizing the hands-on, concrete, socially embedded sources of meaning.  We go beyond them both in the details of our treatment of poietic skill and also in identifying poiesis as one among several ways the world can be </w:t>
      </w:r>
      <w:bookmarkStart w:id="5039" w:name="__UnoMark__23634_140394355"/>
      <w:bookmarkStart w:id="5040" w:name="__UnoMark__17414_140394355"/>
      <w:bookmarkStart w:id="5041" w:name="__UnoMark__16028_140394355"/>
      <w:bookmarkStart w:id="5042" w:name="__UnoMark__28408_836371768"/>
      <w:bookmarkStart w:id="5043" w:name="ZOTERO_BREF_6bFFb2WrJspC"/>
      <w:bookmarkStart w:id="5044" w:name="__UnoMark__29702_836371768"/>
      <w:bookmarkStart w:id="5045" w:name="__UnoMark__30863_836371768"/>
      <w:bookmarkStart w:id="5046" w:name="__UnoMark__40850_2025191570"/>
      <w:bookmarkStart w:id="5047" w:name="__UnoMark__42066_2025191570"/>
      <w:bookmarkStart w:id="5048" w:name="__UnoMark__43317_2025191570"/>
      <w:bookmarkStart w:id="5049" w:name="__UnoMark__44577_2025191570"/>
      <w:r>
        <w:rPr/>
        <w:t>(Dreyfus &amp; Kelly, 2011, p. 243)</w:t>
      </w:r>
      <w:bookmarkStart w:id="5050" w:name="__UnoMark__28784_836371768"/>
      <w:bookmarkEnd w:id="5039"/>
      <w:bookmarkEnd w:id="5040"/>
      <w:bookmarkEnd w:id="5041"/>
      <w:bookmarkEnd w:id="5042"/>
      <w:bookmarkEnd w:id="5043"/>
      <w:bookmarkEnd w:id="5044"/>
      <w:bookmarkEnd w:id="5045"/>
      <w:bookmarkEnd w:id="5046"/>
      <w:bookmarkEnd w:id="5047"/>
      <w:bookmarkEnd w:id="5048"/>
      <w:bookmarkEnd w:id="5049"/>
      <w:bookmarkEnd w:id="5050"/>
      <w:r>
        <w:rPr/>
        <w:t>.</w:t>
      </w:r>
    </w:p>
    <w:p>
      <w:pPr>
        <w:pStyle w:val="Normal"/>
        <w:rPr/>
      </w:pPr>
      <w:r>
        <w:rPr>
          <w:lang w:val="en-GB"/>
        </w:rPr>
        <w:t xml:space="preserve">Nearly 30 years later, Alexander would evolve "quality without a name" with "life" and "wholeness" in </w:t>
      </w:r>
      <w:r>
        <w:rPr>
          <w:i/>
          <w:iCs/>
          <w:lang w:val="en-GB"/>
        </w:rPr>
        <w:t>The Nature of Order</w:t>
      </w:r>
      <w:r>
        <w:rPr>
          <w:lang w:val="en-GB"/>
        </w:rPr>
        <w:t>:, and subsequent empirical findings:</w:t>
      </w:r>
    </w:p>
    <w:p>
      <w:pPr>
        <w:pStyle w:val="Quote"/>
        <w:rPr/>
      </w:pPr>
      <w:r>
        <w:rPr/>
        <w:t>1. A previously unknown phenomenon that may be called “life” or “wholeness” has been observed in artifacts. This quality has been noticed in certain works of art, buildings, public space, parts of buildings, and in a wide range of other humanmade things.  [….]</w:t>
      </w:r>
    </w:p>
    <w:p>
      <w:pPr>
        <w:pStyle w:val="Quote"/>
        <w:rPr/>
      </w:pPr>
      <w:r>
        <w:rPr>
          <w:color w:val="00000A"/>
          <w:lang w:val="en-GB"/>
        </w:rPr>
        <w:t xml:space="preserve">3. This quality of life seems to be correlated with the repeated appearance of 15 geometric properties—or geometrical invariants—that appear throughout the object’s configuration. (demonstrated) </w:t>
      </w:r>
      <w:bookmarkStart w:id="5051" w:name="__UnoMark__23635_140394355"/>
      <w:bookmarkStart w:id="5052" w:name="__UnoMark__17415_140394355"/>
      <w:bookmarkStart w:id="5053" w:name="__UnoMark__16029_140394355"/>
      <w:bookmarkStart w:id="5054" w:name="ZOTERO_BREF_b8ALspA8KDcG"/>
      <w:bookmarkStart w:id="5055" w:name="__UnoMark__27378_836371768"/>
      <w:bookmarkStart w:id="5056" w:name="__UnoMark__28523_836371768"/>
      <w:bookmarkStart w:id="5057" w:name="__UnoMark__29697_836371768"/>
      <w:bookmarkStart w:id="5058" w:name="__UnoMark__30858_836371768"/>
      <w:bookmarkStart w:id="5059" w:name="__UnoMark__11484_2025191570"/>
      <w:bookmarkStart w:id="5060" w:name="__UnoMark__40851_2025191570"/>
      <w:bookmarkStart w:id="5061" w:name="__UnoMark__42067_2025191570"/>
      <w:bookmarkStart w:id="5062" w:name="__UnoMark__43318_2025191570"/>
      <w:bookmarkStart w:id="5063" w:name="__UnoMark__44578_2025191570"/>
      <w:r>
        <w:rPr>
          <w:color w:val="00000A"/>
          <w:lang w:val="en-GB"/>
        </w:rPr>
        <w:t>(Alexander, 2007)</w:t>
      </w:r>
      <w:bookmarkStart w:id="5064" w:name="__UnoMark__23636_140394355"/>
      <w:bookmarkStart w:id="5065" w:name="__UnoMark__17416_140394355"/>
      <w:bookmarkStart w:id="5066" w:name="__UnoMark__16030_140394355"/>
      <w:bookmarkStart w:id="5067" w:name="__UnoMark__6279_1492540610"/>
      <w:bookmarkStart w:id="5068" w:name="__UnoMark__9589_1492540610"/>
      <w:bookmarkStart w:id="5069" w:name="__UnoMark__8993_1492540610"/>
      <w:bookmarkStart w:id="5070" w:name="__UnoMark__6077_1492540610"/>
      <w:bookmarkStart w:id="5071" w:name="__UnoMark__11889_722878254"/>
      <w:bookmarkStart w:id="5072" w:name="__UnoMark__12558_722878254"/>
      <w:bookmarkStart w:id="5073" w:name="__UnoMark__13240_722878254"/>
      <w:bookmarkStart w:id="5074" w:name="__UnoMark__15012_1661744717"/>
      <w:bookmarkStart w:id="5075" w:name="__UnoMark__15889_1661744717"/>
      <w:bookmarkStart w:id="5076" w:name="__UnoMark__16764_1661744717"/>
      <w:bookmarkStart w:id="5077" w:name="__UnoMark__17655_1661744717"/>
      <w:bookmarkStart w:id="5078" w:name="__UnoMark__17976_1661744717"/>
      <w:bookmarkStart w:id="5079" w:name="__UnoMark__10188_1492540610"/>
      <w:bookmarkStart w:id="5080" w:name="__UnoMark__7200_1586897740"/>
      <w:bookmarkStart w:id="5081" w:name="ZOTERO_BREF_brSs00JmIn5V"/>
      <w:bookmarkStart w:id="5082" w:name="__UnoMark__18562_1880123655"/>
      <w:bookmarkStart w:id="5083" w:name="__UnoMark__17450_1880123655"/>
      <w:bookmarkStart w:id="5084" w:name="__UnoMark__16402_1880123655"/>
      <w:bookmarkStart w:id="5085" w:name="__UnoMark__11045_283745954"/>
      <w:bookmarkStart w:id="5086" w:name="__UnoMark__10764_283745954"/>
      <w:bookmarkStart w:id="5087" w:name="__UnoMark__8844_283745954"/>
      <w:bookmarkStart w:id="5088" w:name="__UnoMark__9488_435217427"/>
      <w:bookmarkStart w:id="5089" w:name="__UnoMark__25406_497913431"/>
      <w:bookmarkStart w:id="5090" w:name="__UnoMark__24543_497913431"/>
      <w:bookmarkStart w:id="5091" w:name="__UnoMark__23826_497913431"/>
      <w:bookmarkStart w:id="5092" w:name="__UnoMark__23121_497913431"/>
      <w:bookmarkStart w:id="5093" w:name="__UnoMark__22362_497913431"/>
      <w:bookmarkStart w:id="5094" w:name="__UnoMark__7975_497913431"/>
      <w:bookmarkStart w:id="5095" w:name="__UnoMark__11443_1492540610"/>
      <w:bookmarkStart w:id="5096" w:name="__UnoMark__10822_1492540610"/>
      <w:bookmarkStart w:id="5097" w:name="__UnoMark__9667_283745954"/>
      <w:bookmarkStart w:id="5098" w:name="__UnoMark__27379_836371768"/>
      <w:bookmarkStart w:id="5099" w:name="__UnoMark__28524_836371768"/>
      <w:bookmarkStart w:id="5100" w:name="__UnoMark__29698_836371768"/>
      <w:bookmarkStart w:id="5101" w:name="__UnoMark__30859_836371768"/>
      <w:bookmarkStart w:id="5102" w:name="__UnoMark__11485_2025191570"/>
      <w:bookmarkStart w:id="5103" w:name="__UnoMark__40852_2025191570"/>
      <w:bookmarkStart w:id="5104" w:name="__UnoMark__42068_2025191570"/>
      <w:bookmarkStart w:id="5105" w:name="__UnoMark__43319_2025191570"/>
      <w:bookmarkStart w:id="5106" w:name="__UnoMark__44579_202519157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r>
        <w:rPr>
          <w:color w:val="00000A"/>
          <w:lang w:val="en-GB"/>
        </w:rPr>
        <w:t>.</w:t>
      </w:r>
    </w:p>
    <w:p>
      <w:pPr>
        <w:pStyle w:val="Normal"/>
        <w:rPr/>
      </w:pPr>
      <w:r>
        <w:rPr>
          <w:color w:val="00000A"/>
          <w:lang w:val="en-GB"/>
        </w:rPr>
        <w:t xml:space="preserve">Quality-strengthening sequencing provides a progressive differentiation of space through a mindful ordering of decisions to be made.  The strengthening of quality may be exhibited through the preserving of wholeness across a field of mutually reinforcing centers. For a generative sequence, centers have to be laid down in an orderly form.  An unfolding that preserves wholeness from one stage to the next may not be known in advanced, so experimenting and/or testing may be done to identify good sequences and preclude backtracking to recover from bad subsequences.  Taking a scientific foundation to architecting has led to a position emerging “objective measures of coherence in complex systems, and the unavoidable relationship between structure, fact, and beauty” </w:t>
      </w:r>
      <w:bookmarkStart w:id="5107" w:name="__UnoMark__23637_140394355"/>
      <w:bookmarkStart w:id="5108" w:name="__UnoMark__17417_140394355"/>
      <w:bookmarkStart w:id="5109" w:name="__UnoMark__16031_140394355"/>
      <w:bookmarkStart w:id="5110" w:name="ZOTERO_BREF_7R4efZqKCSsQ"/>
      <w:bookmarkStart w:id="5111" w:name="__UnoMark__30864_836371768"/>
      <w:bookmarkStart w:id="5112" w:name="__UnoMark__40853_2025191570"/>
      <w:bookmarkStart w:id="5113" w:name="__UnoMark__42069_2025191570"/>
      <w:bookmarkStart w:id="5114" w:name="__UnoMark__43320_2025191570"/>
      <w:bookmarkStart w:id="5115" w:name="__UnoMark__44580_2025191570"/>
      <w:bookmarkStart w:id="5116" w:name="__UnoMark__29582_836371768"/>
      <w:bookmarkEnd w:id="5116"/>
      <w:r>
        <w:rPr>
          <w:b w:val="false"/>
          <w:i w:val="false"/>
          <w:caps w:val="false"/>
          <w:smallCaps w:val="false"/>
          <w:color w:val="00000A"/>
          <w:position w:val="0"/>
          <w:sz w:val="22"/>
          <w:sz w:val="22"/>
          <w:u w:val="none"/>
          <w:vertAlign w:val="baseline"/>
          <w:lang w:val="en-GB"/>
        </w:rPr>
        <w:t>(Alexander, 2003, pp. 8</w:t>
      </w:r>
      <w:r>
        <w:rPr>
          <w:b w:val="false"/>
          <w:i w:val="false"/>
          <w:caps w:val="false"/>
          <w:smallCaps w:val="false"/>
          <w:position w:val="0"/>
          <w:sz w:val="22"/>
          <w:sz w:val="22"/>
          <w:u w:val="none"/>
          <w:vertAlign w:val="baseline"/>
        </w:rPr>
        <w:t>–9)</w:t>
      </w:r>
      <w:bookmarkStart w:id="5117" w:name="__UnoMark__29958_836371768"/>
      <w:bookmarkStart w:id="5118" w:name="__UnoMark__29970_836371768"/>
      <w:bookmarkEnd w:id="5107"/>
      <w:bookmarkEnd w:id="5108"/>
      <w:bookmarkEnd w:id="5109"/>
      <w:bookmarkEnd w:id="5110"/>
      <w:bookmarkEnd w:id="5111"/>
      <w:bookmarkEnd w:id="5112"/>
      <w:bookmarkEnd w:id="5113"/>
      <w:bookmarkEnd w:id="5114"/>
      <w:bookmarkEnd w:id="5115"/>
      <w:bookmarkEnd w:id="5117"/>
      <w:bookmarkEnd w:id="5118"/>
      <w:r>
        <w:rPr>
          <w:color w:val="00000A"/>
          <w:lang w:val="en-GB"/>
        </w:rPr>
        <w:t xml:space="preserve">. </w:t>
      </w:r>
    </w:p>
    <w:p>
      <w:pPr>
        <w:pStyle w:val="Normal"/>
        <w:rPr/>
      </w:pPr>
      <w:r>
        <w:rPr>
          <w:i/>
          <w:iCs/>
          <w:lang w:val="en-GB"/>
        </w:rPr>
        <w:t>Quality in a service system</w:t>
      </w:r>
      <w:r>
        <w:rPr>
          <w:lang w:val="en-GB"/>
        </w:rPr>
        <w:t xml:space="preserve"> may not be best expressed as geometric invariants.  In contrast, the doxa on service systems typically separates value from the outcome.</w:t>
      </w:r>
      <w:r>
        <w:rPr>
          <w:color w:val="00000A"/>
          <w:lang w:val="en-GB"/>
        </w:rPr>
        <w:t xml:space="preserve"> Interactive value is depicted as a process where enjoyment takes place over a period of time, as compared to the value in exchange that occurs at only a point in time.  In the larger service system, independent transactions are de-emphasized relative to the ongoing relationship in the context of mutually changing environments.</w:t>
      </w:r>
    </w:p>
    <w:p>
      <w:pPr>
        <w:pStyle w:val="Quote"/>
        <w:rPr/>
      </w:pPr>
      <w:r>
        <w:rPr/>
        <w:t xml:space="preserve">From [the] value constellation perspective, value is co-produced by actors who interface with each other. They allocate the tasks involved in value creation among themselves and to others, in time and space, explicitly or implicitly. This opens up many opportunities for defining relationships between actors and reassigning activities. If we look at a single relationship in a co-productive system (for example, that between customer and supplier) this view implies that the customer is not only a passive orderer / buyer / user of the offering, but also participates in many other ways of consuming it, for instance in its delivery. Etymologically, consumption means value creation, not value destruction; this sense of consumption is inherent in the "value constellation" point of view. Furthermore, as actors participate in ways that vary from one offering to the next, and from one customer / supplier relationship to the next, it is not possible to take given characteristics for granted: co-producers constantly reassess each other, and reallocate tasks according to their new values of the comparative advantage each other to have </w:t>
      </w:r>
      <w:bookmarkStart w:id="5119" w:name="__UnoMark__23638_140394355"/>
      <w:bookmarkStart w:id="5120" w:name="__UnoMark__17418_140394355"/>
      <w:bookmarkStart w:id="5121" w:name="__UnoMark__16032_140394355"/>
      <w:bookmarkStart w:id="5122" w:name="__UnoMark__30743_836371768"/>
      <w:bookmarkStart w:id="5123" w:name="ZOTERO_BREF_mobPBdXuX6nZ"/>
      <w:bookmarkStart w:id="5124" w:name="__UnoMark__40854_2025191570"/>
      <w:bookmarkStart w:id="5125" w:name="__UnoMark__42070_2025191570"/>
      <w:bookmarkStart w:id="5126" w:name="__UnoMark__43321_2025191570"/>
      <w:bookmarkStart w:id="5127" w:name="__UnoMark__44581_2025191570"/>
      <w:r>
        <w:rPr/>
        <w:t>(Normann &amp; Ramirez, 1994, p. 54)</w:t>
      </w:r>
      <w:bookmarkEnd w:id="5119"/>
      <w:bookmarkEnd w:id="5120"/>
      <w:bookmarkEnd w:id="5121"/>
      <w:bookmarkEnd w:id="5122"/>
      <w:bookmarkEnd w:id="5123"/>
      <w:bookmarkEnd w:id="5124"/>
      <w:bookmarkEnd w:id="5125"/>
      <w:bookmarkEnd w:id="5126"/>
      <w:bookmarkEnd w:id="5127"/>
      <w:r>
        <w:rPr/>
        <w:t xml:space="preserve">. </w:t>
      </w:r>
    </w:p>
    <w:p>
      <w:pPr>
        <w:pStyle w:val="Normal"/>
        <w:rPr/>
      </w:pPr>
      <w:r>
        <w:rPr>
          <w:color w:val="00000A"/>
          <w:lang w:val="en-GB"/>
        </w:rPr>
        <w:t>With foundations in systems theory, coproduction is a concept that can be appreciated across disciplines -- of science, management, engineering and design --  as a common foundation for service systems thinking.  The most rigourous formalism related to coproduction takes 5 pages to build up the following definition:</w:t>
      </w:r>
    </w:p>
    <w:p>
      <w:pPr>
        <w:pStyle w:val="Quote"/>
        <w:rPr/>
      </w:pPr>
      <w:r>
        <w:rPr/>
        <w:t>2.31. Coproducers: two or more objects, properties and/or environments that are producers of the same product.</w:t>
      </w:r>
    </w:p>
    <w:p>
      <w:pPr>
        <w:pStyle w:val="Quote"/>
        <w:rPr/>
      </w:pPr>
      <w:r>
        <w:rPr>
          <w:color w:val="00000A"/>
          <w:lang w:val="en-GB"/>
        </w:rPr>
        <w:t xml:space="preserve">Since no producer is ever sufficient for its product, every producer has at least one coproducer. The set of all coproducers of a product </w:t>
      </w:r>
      <w:r>
        <w:rPr>
          <w:b/>
          <w:bCs/>
          <w:i/>
          <w:iCs/>
          <w:color w:val="00000A"/>
          <w:lang w:val="en-GB"/>
        </w:rPr>
        <w:t>y</w:t>
      </w:r>
      <w:r>
        <w:rPr>
          <w:color w:val="00000A"/>
          <w:lang w:val="en-GB"/>
        </w:rPr>
        <w:t xml:space="preserve"> is the cause of </w:t>
      </w:r>
      <w:r>
        <w:rPr>
          <w:b/>
          <w:bCs/>
          <w:i/>
          <w:iCs/>
          <w:color w:val="00000A"/>
          <w:lang w:val="en-GB"/>
        </w:rPr>
        <w:t>y</w:t>
      </w:r>
      <w:r>
        <w:rPr>
          <w:color w:val="00000A"/>
          <w:lang w:val="en-GB"/>
        </w:rPr>
        <w:t xml:space="preserve">, since the set is sufficient as well as necessary for </w:t>
      </w:r>
      <w:r>
        <w:rPr>
          <w:b/>
          <w:bCs/>
          <w:i/>
          <w:iCs/>
          <w:color w:val="00000A"/>
          <w:lang w:val="en-GB"/>
        </w:rPr>
        <w:t>y</w:t>
      </w:r>
      <w:r>
        <w:rPr>
          <w:color w:val="00000A"/>
          <w:lang w:val="en-GB"/>
        </w:rPr>
        <w:t xml:space="preserve">. </w:t>
      </w:r>
      <w:bookmarkStart w:id="5128" w:name="__UnoMark__23639_140394355"/>
      <w:bookmarkStart w:id="5129" w:name="__UnoMark__17419_140394355"/>
      <w:bookmarkStart w:id="5130" w:name="__UnoMark__16033_140394355"/>
      <w:bookmarkStart w:id="5131" w:name="ZOTERO_BREF_BkAZJ4loukRb"/>
      <w:bookmarkStart w:id="5132" w:name="__UnoMark__40855_2025191570"/>
      <w:bookmarkStart w:id="5133" w:name="__UnoMark__42071_2025191570"/>
      <w:bookmarkStart w:id="5134" w:name="__UnoMark__43322_2025191570"/>
      <w:bookmarkStart w:id="5135" w:name="__UnoMark__44582_2025191570"/>
      <w:bookmarkEnd w:id="5128"/>
      <w:bookmarkEnd w:id="5129"/>
      <w:bookmarkEnd w:id="5130"/>
      <w:bookmarkEnd w:id="5131"/>
      <w:bookmarkEnd w:id="5132"/>
      <w:bookmarkEnd w:id="5133"/>
      <w:bookmarkEnd w:id="5134"/>
      <w:bookmarkEnd w:id="5135"/>
      <w:r>
        <w:rPr>
          <w:color w:val="00000A"/>
          <w:lang w:val="en-GB"/>
        </w:rPr>
        <w:t>(Ackoff &amp; Emery, 1972, p. 23)</w:t>
      </w:r>
    </w:p>
    <w:p>
      <w:pPr>
        <w:pStyle w:val="Normal"/>
        <w:rPr/>
      </w:pPr>
      <w:r>
        <w:rPr/>
        <w:t>At the most basic level, a service system can’t have just a provider. A service system has to have a coproducer, i.e. a customer or a stakeholder who participates in the outcome.</w:t>
      </w:r>
    </w:p>
    <w:p>
      <w:pPr>
        <w:pStyle w:val="Normal"/>
        <w:rPr>
          <w:color w:val="00000A"/>
          <w:lang w:val="en-GB"/>
        </w:rPr>
      </w:pPr>
      <w:r>
        <w:rPr>
          <w:color w:val="00000A"/>
          <w:lang w:val="en-GB"/>
        </w:rPr>
        <w:t>The outcome produced by a (service) system has been recognized to have value in two ways:  use-value (alias value-in-use) and exchange value (alias value-in-exchange).  With the rise of service-dominant logic, the concept of value as evolved into an understanding that it is phenomenological and uniquely co-created between an offering (the firm’s value proposition) and an individual or actor.  In addition, such a value being created may sit in different types of consciousness at different times, i.e.:</w:t>
      </w:r>
    </w:p>
    <w:p>
      <w:pPr>
        <w:pStyle w:val="Quote"/>
        <w:rPr/>
      </w:pPr>
      <w:r>
        <w:rPr/>
        <w:t xml:space="preserve">… </w:t>
      </w:r>
      <w:r>
        <w:rPr/>
        <w:t xml:space="preserve">consciousness as being of two types – phenomenal consciousness (P-consciousness) and access consciousness (A-consciousness). P-consciousness is the raw experience of movement, forms, sounds, sensations, emotions and feelings, while A-consciousness is perception, introspection, reflection, in a sense, a more heightened awareness of a phenomenon. This suggests that if we understand value creation as creating something ‘good’ as an outcome, the consciousness of that goodness during the phenomenological experience may be different from the consciousness of that goodness imagined before, or evaluated after, the phenomenon. One can even argue that within the phenomenon, the actor is merely ‘in practice’ of resource integrating, with a lower level consciousness of what is ‘good’, or what is of ‘value’, from the resources being integrated within the value-creating phenomenon. In other words, even if value is uniquely created within a phenomenon, there could possibly be two levels of consciousness of that value that could exist at different times: P-consciousness of value (P-C-value) or A-consciousness of value (A-C-value) </w:t>
      </w:r>
      <w:bookmarkStart w:id="5136" w:name="__UnoMark__23640_140394355"/>
      <w:bookmarkStart w:id="5137" w:name="__UnoMark__17420_140394355"/>
      <w:bookmarkStart w:id="5138" w:name="__UnoMark__16034_140394355"/>
      <w:bookmarkStart w:id="5139" w:name="ZOTERO_BREF_OcqDHN60JnYo"/>
      <w:bookmarkStart w:id="5140" w:name="__UnoMark__40856_2025191570"/>
      <w:bookmarkStart w:id="5141" w:name="__UnoMark__42072_2025191570"/>
      <w:bookmarkStart w:id="5142" w:name="__UnoMark__43323_2025191570"/>
      <w:bookmarkStart w:id="5143" w:name="__UnoMark__44583_2025191570"/>
      <w:r>
        <w:rPr>
          <w:b w:val="false"/>
          <w:i w:val="false"/>
          <w:caps w:val="false"/>
          <w:smallCaps w:val="false"/>
          <w:position w:val="0"/>
          <w:sz w:val="22"/>
          <w:sz w:val="22"/>
          <w:u w:val="none"/>
          <w:vertAlign w:val="baseline"/>
        </w:rPr>
        <w:t>(Ng &amp; Smith, 2012, pp. 227–228)</w:t>
      </w:r>
      <w:bookmarkEnd w:id="5136"/>
      <w:bookmarkEnd w:id="5137"/>
      <w:bookmarkEnd w:id="5138"/>
      <w:bookmarkEnd w:id="5139"/>
      <w:bookmarkEnd w:id="5140"/>
      <w:bookmarkEnd w:id="5141"/>
      <w:bookmarkEnd w:id="5142"/>
      <w:bookmarkEnd w:id="5143"/>
      <w:r>
        <w:rPr/>
        <w:t>.</w:t>
      </w:r>
    </w:p>
    <w:p>
      <w:pPr>
        <w:pStyle w:val="Normal"/>
        <w:rPr>
          <w:color w:val="00000A"/>
          <w:lang w:val="en-GB"/>
        </w:rPr>
      </w:pPr>
      <w:r>
        <w:rPr>
          <w:color w:val="00000A"/>
          <w:lang w:val="en-GB"/>
        </w:rPr>
        <w:t xml:space="preserve">An offering has a tangible and/or intangible nature, affording an actor to perform an action on it, in a variety of contexts through situational skills and competencies.  The value (i) </w:t>
      </w:r>
      <w:r>
        <w:rPr>
          <w:i/>
          <w:iCs/>
          <w:color w:val="00000A"/>
          <w:lang w:val="en-GB"/>
        </w:rPr>
        <w:t>before</w:t>
      </w:r>
      <w:r>
        <w:rPr>
          <w:color w:val="00000A"/>
          <w:lang w:val="en-GB"/>
        </w:rPr>
        <w:t xml:space="preserve"> the experience with the offering (i.e. A-C-value ex-ante on expected P-C-value) can be separated from the value (ii) </w:t>
      </w:r>
      <w:r>
        <w:rPr>
          <w:i/>
          <w:iCs/>
          <w:color w:val="00000A"/>
          <w:lang w:val="en-GB"/>
        </w:rPr>
        <w:t>during</w:t>
      </w:r>
      <w:r>
        <w:rPr>
          <w:color w:val="00000A"/>
          <w:lang w:val="en-GB"/>
        </w:rPr>
        <w:t xml:space="preserve"> the experience (i.e. perceived P-C-value), and the value (iii) </w:t>
      </w:r>
      <w:r>
        <w:rPr>
          <w:i/>
          <w:iCs/>
          <w:color w:val="00000A"/>
          <w:lang w:val="en-GB"/>
        </w:rPr>
        <w:t>after</w:t>
      </w:r>
      <w:r>
        <w:rPr>
          <w:color w:val="00000A"/>
          <w:lang w:val="en-GB"/>
        </w:rPr>
        <w:t xml:space="preserve"> experience (i.e. A-C-value ex-post evaluation on P-C-value).  Coveting an iPhone before purchase, using the iPhone in service, and putting an iPhone in a pocket after a call each have different assessments of value.</w:t>
      </w:r>
    </w:p>
    <w:p>
      <w:pPr>
        <w:pStyle w:val="Normal"/>
        <w:rPr/>
      </w:pPr>
      <w:r>
        <w:rPr>
          <w:color w:val="00000A"/>
          <w:lang w:val="en-GB"/>
        </w:rPr>
        <w:t>Service systems thinking is based on interactive value with parties in active ongoing engagement.  Only with the advent of "smart" technologies have built environments such as buildings and/or physical infrastructure been considered to be interactive.</w:t>
      </w:r>
    </w:p>
    <w:p>
      <w:pPr>
        <w:pStyle w:val="Heading3"/>
        <w:numPr>
          <w:ilvl w:val="2"/>
          <w:numId w:val="2"/>
        </w:numPr>
        <w:rPr/>
      </w:pPr>
      <w:r>
        <w:rPr>
          <w:lang w:val="en-GB"/>
        </w:rPr>
        <w:t>From anti-patterns to wayfaring</w:t>
      </w:r>
    </w:p>
    <w:p>
      <w:pPr>
        <w:pStyle w:val="Normal"/>
        <w:rPr/>
      </w:pPr>
      <w:r>
        <w:rPr>
          <w:lang w:val="en-GB"/>
        </w:rPr>
        <w:t>For built environments, a pattern can be described as "relatively more alive, or more dead" and "relatively stable, and self-sustaining – or it is relatively unstable and self-destroying".</w:t>
      </w:r>
    </w:p>
    <w:p>
      <w:pPr>
        <w:pStyle w:val="Quote"/>
        <w:rPr/>
      </w:pPr>
      <w:r>
        <w:rPr/>
        <w:t xml:space="preserve">Each of these "dead" patterns is incapable of containing its own forces, and keeping them in balance.  What happens then, is that these forces leak out, beyond the confines of the pattern where they occur, and start to infect the other patterns </w:t>
      </w:r>
      <w:bookmarkStart w:id="5144" w:name="__UnoMark__23641_140394355"/>
      <w:bookmarkStart w:id="5145" w:name="__UnoMark__17421_140394355"/>
      <w:bookmarkStart w:id="5146" w:name="__UnoMark__16035_140394355"/>
      <w:bookmarkStart w:id="5147" w:name="__UnoMark__7201_1586897740"/>
      <w:bookmarkStart w:id="5148" w:name="__UnoMark__9590_1492540610"/>
      <w:bookmarkStart w:id="5149" w:name="ZOTERO_BREF_G6d1fUox0DWf"/>
      <w:bookmarkStart w:id="5150" w:name="__UnoMark__8927_1492540610"/>
      <w:bookmarkStart w:id="5151" w:name="__UnoMark__12560_722878254"/>
      <w:bookmarkStart w:id="5152" w:name="__UnoMark__13242_722878254"/>
      <w:bookmarkStart w:id="5153" w:name="__UnoMark__15013_1661744717"/>
      <w:bookmarkStart w:id="5154" w:name="__UnoMark__15890_1661744717"/>
      <w:bookmarkStart w:id="5155" w:name="__UnoMark__16765_1661744717"/>
      <w:bookmarkStart w:id="5156" w:name="__UnoMark__17656_1661744717"/>
      <w:bookmarkStart w:id="5157" w:name="__UnoMark__17977_1661744717"/>
      <w:bookmarkStart w:id="5158" w:name="__UnoMark__10824_1492540610"/>
      <w:bookmarkStart w:id="5159" w:name="__UnoMark__10189_1492540610"/>
      <w:bookmarkStart w:id="5160" w:name="__UnoMark__11444_1492540610"/>
      <w:bookmarkStart w:id="5161" w:name="__UnoMark__7977_497913431"/>
      <w:bookmarkStart w:id="5162" w:name="__UnoMark__22364_497913431"/>
      <w:bookmarkStart w:id="5163" w:name="__UnoMark__23123_497913431"/>
      <w:bookmarkStart w:id="5164" w:name="__UnoMark__23828_497913431"/>
      <w:bookmarkStart w:id="5165" w:name="__UnoMark__24545_497913431"/>
      <w:bookmarkStart w:id="5166" w:name="__UnoMark__25407_497913431"/>
      <w:bookmarkStart w:id="5167" w:name="__UnoMark__9489_435217427"/>
      <w:bookmarkStart w:id="5168" w:name="__UnoMark__8845_283745954"/>
      <w:bookmarkStart w:id="5169" w:name="__UnoMark__9668_283745954"/>
      <w:bookmarkStart w:id="5170" w:name="__UnoMark__10765_283745954"/>
      <w:bookmarkStart w:id="5171" w:name="__UnoMark__11046_283745954"/>
      <w:bookmarkStart w:id="5172" w:name="__UnoMark__16403_1880123655"/>
      <w:bookmarkStart w:id="5173" w:name="__UnoMark__17451_1880123655"/>
      <w:bookmarkStart w:id="5174" w:name="__UnoMark__18563_1880123655"/>
      <w:bookmarkStart w:id="5175" w:name="__UnoMark__11891_722878254"/>
      <w:bookmarkStart w:id="5176" w:name="__UnoMark__27381_836371768"/>
      <w:bookmarkStart w:id="5177" w:name="__UnoMark__28528_836371768"/>
      <w:bookmarkStart w:id="5178" w:name="__UnoMark__29703_836371768"/>
      <w:bookmarkStart w:id="5179" w:name="__UnoMark__30865_836371768"/>
      <w:bookmarkStart w:id="5180" w:name="__UnoMark__40857_2025191570"/>
      <w:bookmarkStart w:id="5181" w:name="__UnoMark__42073_2025191570"/>
      <w:bookmarkStart w:id="5182" w:name="__UnoMark__43324_2025191570"/>
      <w:bookmarkStart w:id="5183" w:name="__UnoMark__44584_2025191570"/>
      <w:r>
        <w:rPr/>
        <w:t>(Alexander, 1979, p. 127)</w:t>
      </w:r>
      <w:bookmarkStart w:id="5184" w:name="__UnoMark__9154_1492540610"/>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r>
        <w:rPr/>
        <w:t>.</w:t>
      </w:r>
    </w:p>
    <w:p>
      <w:pPr>
        <w:pStyle w:val="Quote"/>
        <w:rPr/>
      </w:pPr>
      <w:r>
        <w:rPr/>
        <w:t xml:space="preserve">In the end, the whole system must collapse.  The slight stress caused by the overflow of forces from these first unstable patterns spreads first to nearby patterns – and then then spreads still further, since these nearby patterns become unstable and destructive, too </w:t>
      </w:r>
      <w:bookmarkStart w:id="5185" w:name="__UnoMark__23642_140394355"/>
      <w:bookmarkStart w:id="5186" w:name="__UnoMark__17422_140394355"/>
      <w:bookmarkStart w:id="5187" w:name="__UnoMark__16036_140394355"/>
      <w:bookmarkStart w:id="5188" w:name="__UnoMark__10190_1492540610"/>
      <w:bookmarkStart w:id="5189" w:name="__UnoMark__17978_1661744717"/>
      <w:bookmarkStart w:id="5190" w:name="__UnoMark__17657_1661744717"/>
      <w:bookmarkStart w:id="5191" w:name="__UnoMark__16766_1661744717"/>
      <w:bookmarkStart w:id="5192" w:name="__UnoMark__15891_1661744717"/>
      <w:bookmarkStart w:id="5193" w:name="__UnoMark__15014_1661744717"/>
      <w:bookmarkStart w:id="5194" w:name="__UnoMark__7202_1586897740"/>
      <w:bookmarkStart w:id="5195" w:name="__UnoMark__13243_722878254"/>
      <w:bookmarkStart w:id="5196" w:name="__UnoMark__12561_722878254"/>
      <w:bookmarkStart w:id="5197" w:name="__UnoMark__11892_722878254"/>
      <w:bookmarkStart w:id="5198" w:name="__UnoMark__9523_1492540610"/>
      <w:bookmarkStart w:id="5199" w:name="ZOTERO_BREF_Sy46sHkeLE20"/>
      <w:bookmarkStart w:id="5200" w:name="__UnoMark__18564_1880123655"/>
      <w:bookmarkStart w:id="5201" w:name="__UnoMark__17452_1880123655"/>
      <w:bookmarkStart w:id="5202" w:name="__UnoMark__16404_1880123655"/>
      <w:bookmarkStart w:id="5203" w:name="__UnoMark__11047_283745954"/>
      <w:bookmarkStart w:id="5204" w:name="__UnoMark__10766_283745954"/>
      <w:bookmarkStart w:id="5205" w:name="__UnoMark__9669_283745954"/>
      <w:bookmarkStart w:id="5206" w:name="__UnoMark__8846_283745954"/>
      <w:bookmarkStart w:id="5207" w:name="__UnoMark__9490_435217427"/>
      <w:bookmarkStart w:id="5208" w:name="__UnoMark__25408_497913431"/>
      <w:bookmarkStart w:id="5209" w:name="__UnoMark__24546_497913431"/>
      <w:bookmarkStart w:id="5210" w:name="__UnoMark__23829_497913431"/>
      <w:bookmarkStart w:id="5211" w:name="__UnoMark__23124_497913431"/>
      <w:bookmarkStart w:id="5212" w:name="__UnoMark__22365_497913431"/>
      <w:bookmarkStart w:id="5213" w:name="__UnoMark__7978_497913431"/>
      <w:bookmarkStart w:id="5214" w:name="__UnoMark__11445_1492540610"/>
      <w:bookmarkStart w:id="5215" w:name="__UnoMark__10825_1492540610"/>
      <w:bookmarkStart w:id="5216" w:name="__UnoMark__27382_836371768"/>
      <w:bookmarkStart w:id="5217" w:name="__UnoMark__28529_836371768"/>
      <w:bookmarkStart w:id="5218" w:name="__UnoMark__29704_836371768"/>
      <w:bookmarkStart w:id="5219" w:name="__UnoMark__30866_836371768"/>
      <w:bookmarkStart w:id="5220" w:name="__UnoMark__40858_2025191570"/>
      <w:bookmarkStart w:id="5221" w:name="__UnoMark__42074_2025191570"/>
      <w:bookmarkStart w:id="5222" w:name="__UnoMark__43325_2025191570"/>
      <w:bookmarkStart w:id="5223" w:name="__UnoMark__44585_2025191570"/>
      <w:r>
        <w:rPr/>
        <w:t>(Alexander, 1979, p. 130)</w:t>
      </w:r>
      <w:bookmarkStart w:id="5224" w:name="__UnoMark__9731_1492540610"/>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r>
        <w:rPr/>
        <w:t>.</w:t>
      </w:r>
    </w:p>
    <w:p>
      <w:pPr>
        <w:pStyle w:val="Normal"/>
        <w:rPr/>
      </w:pPr>
      <w:r>
        <w:rPr>
          <w:lang w:val="en-GB"/>
        </w:rPr>
        <w:t xml:space="preserve">The source of the </w:t>
      </w:r>
      <w:r>
        <w:rPr>
          <w:i/>
          <w:iCs/>
          <w:lang w:val="en-GB"/>
        </w:rPr>
        <w:t>anti-patterns</w:t>
      </w:r>
      <w:r>
        <w:rPr>
          <w:lang w:val="en-GB"/>
        </w:rPr>
        <w:t xml:space="preserve"> idea originated not from architecting built environments, but instead from a software developer outside of the core community cataloguing new patterns.</w:t>
      </w:r>
    </w:p>
    <w:p>
      <w:pPr>
        <w:pStyle w:val="Quote"/>
        <w:rPr/>
      </w:pPr>
      <w:r>
        <w:rPr/>
        <w:t>This suggestion is inspired by a story told about Thomas Edison.  While he was trying to build the first electric light, he tried hundreds of possible materials for filaments.  Every experiment came out a failure.  At some point, someone remarked to him that all those must be discouraging.  He responded that he was not discouraged – after all, he now knew hundreds of things that didn’t work.</w:t>
      </w:r>
    </w:p>
    <w:p>
      <w:pPr>
        <w:pStyle w:val="Quote"/>
        <w:rPr/>
      </w:pPr>
      <w:r>
        <w:rPr/>
        <w:t>If one does not know how to solve a problem, it must nevertheless be useful to know about likely blind alleys.  This is particularly true when something appears at first to be a solution but further analysis proves it is not.  Even if one knows the right answer, however, it may be important to point out particular hazards associated with that answer or seemingly trivial variations of that answer that turns solutions into non-solutions.</w:t>
      </w:r>
    </w:p>
    <w:p>
      <w:pPr>
        <w:pStyle w:val="Quote"/>
        <w:rPr/>
      </w:pPr>
      <w:r>
        <w:rPr/>
        <w:t xml:space="preserve">I have coined the term </w:t>
      </w:r>
      <w:r>
        <w:rPr>
          <w:b/>
          <w:bCs/>
        </w:rPr>
        <w:t>antipattern</w:t>
      </w:r>
      <w:r>
        <w:rPr/>
        <w:t xml:space="preserve"> to refer to such non-solutions.  An antipattern is just like a pattern, except that instead of a solution it gives something that looks superficially like a solution but isn‘t one. If an antipattern is coupled with a pattern, it might be tempting to think of it as a pattern-antipattern pair.  That would impart a certain energy to the solution </w:t>
      </w:r>
      <w:bookmarkStart w:id="5225" w:name="__UnoMark__23643_140394355"/>
      <w:bookmarkStart w:id="5226" w:name="__UnoMark__17423_140394355"/>
      <w:bookmarkStart w:id="5227" w:name="__UnoMark__16037_140394355"/>
      <w:bookmarkStart w:id="5228" w:name="__UnoMark__15015_1661744717"/>
      <w:bookmarkStart w:id="5229" w:name="__UnoMark__10823_1492540610"/>
      <w:bookmarkStart w:id="5230" w:name="__UnoMark__10122_1492540610"/>
      <w:bookmarkStart w:id="5231" w:name="__UnoMark__11890_722878254"/>
      <w:bookmarkStart w:id="5232" w:name="__UnoMark__12559_722878254"/>
      <w:bookmarkStart w:id="5233" w:name="__UnoMark__13241_722878254"/>
      <w:bookmarkStart w:id="5234" w:name="__UnoMark__7203_1586897740"/>
      <w:bookmarkStart w:id="5235" w:name="__UnoMark__15892_1661744717"/>
      <w:bookmarkStart w:id="5236" w:name="__UnoMark__16767_1661744717"/>
      <w:bookmarkStart w:id="5237" w:name="__UnoMark__17658_1661744717"/>
      <w:bookmarkStart w:id="5238" w:name="__UnoMark__17979_1661744717"/>
      <w:bookmarkStart w:id="5239" w:name="ZOTERO_BREF_As4lvdrjmge6"/>
      <w:bookmarkStart w:id="5240" w:name="__UnoMark__11376_1492540610"/>
      <w:bookmarkStart w:id="5241" w:name="__UnoMark__7976_497913431"/>
      <w:bookmarkStart w:id="5242" w:name="__UnoMark__22363_497913431"/>
      <w:bookmarkStart w:id="5243" w:name="__UnoMark__23122_497913431"/>
      <w:bookmarkStart w:id="5244" w:name="__UnoMark__23827_497913431"/>
      <w:bookmarkStart w:id="5245" w:name="__UnoMark__24544_497913431"/>
      <w:bookmarkStart w:id="5246" w:name="__UnoMark__25409_497913431"/>
      <w:bookmarkStart w:id="5247" w:name="__UnoMark__9491_435217427"/>
      <w:bookmarkStart w:id="5248" w:name="__UnoMark__8847_283745954"/>
      <w:bookmarkStart w:id="5249" w:name="__UnoMark__9670_283745954"/>
      <w:bookmarkStart w:id="5250" w:name="__UnoMark__10767_283745954"/>
      <w:bookmarkStart w:id="5251" w:name="__UnoMark__11048_283745954"/>
      <w:bookmarkStart w:id="5252" w:name="__UnoMark__16405_1880123655"/>
      <w:bookmarkStart w:id="5253" w:name="__UnoMark__17453_1880123655"/>
      <w:bookmarkStart w:id="5254" w:name="__UnoMark__18565_1880123655"/>
      <w:bookmarkStart w:id="5255" w:name="__UnoMark__27383_836371768"/>
      <w:bookmarkStart w:id="5256" w:name="__UnoMark__28530_836371768"/>
      <w:bookmarkStart w:id="5257" w:name="__UnoMark__29705_836371768"/>
      <w:bookmarkStart w:id="5258" w:name="__UnoMark__30867_836371768"/>
      <w:bookmarkStart w:id="5259" w:name="__UnoMark__40859_2025191570"/>
      <w:bookmarkStart w:id="5260" w:name="__UnoMark__42075_2025191570"/>
      <w:bookmarkStart w:id="5261" w:name="__UnoMark__43326_2025191570"/>
      <w:bookmarkStart w:id="5262" w:name="__UnoMark__44586_2025191570"/>
      <w:bookmarkStart w:id="5263" w:name="__UnoMark__10333_1492540610"/>
      <w:bookmarkEnd w:id="5263"/>
      <w:r>
        <w:rPr/>
        <w:t>(Koenig, 1998, p. 387)</w:t>
      </w:r>
      <w:bookmarkStart w:id="5264" w:name="__UnoMark__11590_1492540610"/>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4"/>
      <w:r>
        <w:rPr/>
        <w:t>.</w:t>
      </w:r>
    </w:p>
    <w:p>
      <w:pPr>
        <w:pStyle w:val="Normal"/>
        <w:rPr/>
      </w:pPr>
      <w:r>
        <w:rPr>
          <w:lang w:val="en-GB"/>
        </w:rPr>
        <w:t>This description of anti-pattern orients towards a problem-solving orientation.  Bounded problem-solving distracts explorers from appreciating contexts, e.g. a filament that fails to perform under one set of circumstances may turn out to the ultimately best material in a reframed set of circumstances.  Further, an anti-pattern was originally envisioned in a dialectic with a pattern, combining fruitful and fruitless paths towards generating better patterns.</w:t>
      </w:r>
    </w:p>
    <w:p>
      <w:pPr>
        <w:pStyle w:val="Normal"/>
        <w:rPr/>
      </w:pPr>
      <w:r>
        <w:rPr>
          <w:lang w:val="en-GB"/>
        </w:rPr>
        <w:t xml:space="preserve">Pursuing improvement of an end (i.e. quality without a name, life or wholeness) can be seen more as a journey, and less as rush from origin to destination.   Piecemeal development can be better described as </w:t>
      </w:r>
      <w:r>
        <w:rPr>
          <w:i/>
          <w:iCs/>
          <w:lang w:val="en-GB"/>
        </w:rPr>
        <w:t>wayfaring</w:t>
      </w:r>
      <w:r>
        <w:rPr>
          <w:lang w:val="en-GB"/>
        </w:rPr>
        <w:t xml:space="preserve">, and less as </w:t>
      </w:r>
      <w:r>
        <w:rPr>
          <w:i/>
          <w:iCs/>
          <w:lang w:val="en-GB"/>
        </w:rPr>
        <w:t>transport</w:t>
      </w:r>
      <w:r>
        <w:rPr>
          <w:lang w:val="en-GB"/>
        </w:rPr>
        <w:t>:</w:t>
      </w:r>
    </w:p>
    <w:p>
      <w:pPr>
        <w:pStyle w:val="Quote"/>
        <w:rPr/>
      </w:pPr>
      <w:r>
        <w:rPr/>
        <w:t xml:space="preserve">… </w:t>
      </w:r>
      <w:r>
        <w:rPr/>
        <w:t xml:space="preserve">I have established a contrast between two modalities of travel, namely wayfaring and transport. Like the line that goes out for a walk, the path of the wayfarer wends hither and thither, and may even pause here and there before moving on. But it has no beginning or end. While on the trail the wayfarer is always somewhere, yet every ‘somewhere’ is on the way to somewhere else. The inhabited world is a reticulate meshwork of such trails that is continually being woven as life goes on along them. Transport, by contrast, is tied to specific locations. Every move serves the purpose of relocating persons and their effects, and is oriented to a specific destination. The traveller who departs from one location and arrives at another is, in between, nowhere at all. Taken together, the lines of transport comprise a network of point-to-point connections. In the colonial project of occupation, this network spreads across the territory, overriding the tangled trails of inhabitants </w:t>
      </w:r>
      <w:bookmarkStart w:id="5265" w:name="__UnoMark__23644_140394355"/>
      <w:bookmarkStart w:id="5266" w:name="__UnoMark__17424_140394355"/>
      <w:bookmarkStart w:id="5267" w:name="__UnoMark__16038_140394355"/>
      <w:bookmarkStart w:id="5268" w:name="__UnoMark__17659_1661744717"/>
      <w:bookmarkStart w:id="5269" w:name="__UnoMark__15016_1661744717"/>
      <w:bookmarkStart w:id="5270" w:name="__UnoMark__15893_1661744717"/>
      <w:bookmarkStart w:id="5271" w:name="__UnoMark__16768_1661744717"/>
      <w:bookmarkStart w:id="5272" w:name="__UnoMark__17980_1661744717"/>
      <w:bookmarkStart w:id="5273" w:name="ZOTERO_BREF_rnF7JEHV0DIi"/>
      <w:bookmarkStart w:id="5274" w:name="__UnoMark__7204_1586897740"/>
      <w:bookmarkStart w:id="5275" w:name="__UnoMark__18566_1880123655"/>
      <w:bookmarkStart w:id="5276" w:name="__UnoMark__17454_1880123655"/>
      <w:bookmarkStart w:id="5277" w:name="__UnoMark__16406_1880123655"/>
      <w:bookmarkStart w:id="5278" w:name="__UnoMark__11049_283745954"/>
      <w:bookmarkStart w:id="5279" w:name="__UnoMark__10768_283745954"/>
      <w:bookmarkStart w:id="5280" w:name="__UnoMark__9671_283745954"/>
      <w:bookmarkStart w:id="5281" w:name="__UnoMark__8848_283745954"/>
      <w:bookmarkStart w:id="5282" w:name="__UnoMark__9492_435217427"/>
      <w:bookmarkStart w:id="5283" w:name="__UnoMark__27384_836371768"/>
      <w:bookmarkStart w:id="5284" w:name="__UnoMark__28531_836371768"/>
      <w:bookmarkStart w:id="5285" w:name="__UnoMark__29706_836371768"/>
      <w:bookmarkStart w:id="5286" w:name="__UnoMark__30868_836371768"/>
      <w:bookmarkStart w:id="5287" w:name="__UnoMark__40860_2025191570"/>
      <w:bookmarkStart w:id="5288" w:name="__UnoMark__42076_2025191570"/>
      <w:bookmarkStart w:id="5289" w:name="__UnoMark__43327_2025191570"/>
      <w:bookmarkStart w:id="5290" w:name="__UnoMark__44587_2025191570"/>
      <w:bookmarkStart w:id="5291" w:name="__UnoMark__25327_497913431"/>
      <w:bookmarkEnd w:id="5291"/>
      <w:r>
        <w:rPr/>
        <w:t>(Ingold, 2006, pp. 26–27)</w:t>
      </w:r>
      <w:bookmarkStart w:id="5292" w:name="__UnoMark__25589_497913431"/>
      <w:bookmarkStart w:id="5293" w:name="__UnoMark__25577_497913431"/>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2"/>
      <w:bookmarkEnd w:id="5293"/>
      <w:r>
        <w:rPr/>
        <w:t>.</w:t>
      </w:r>
    </w:p>
    <w:p>
      <w:pPr>
        <w:pStyle w:val="Normal"/>
        <w:rPr/>
      </w:pPr>
      <w:r>
        <w:rPr>
          <w:lang w:val="en-GB"/>
        </w:rPr>
        <w:t xml:space="preserve">Wayfaring is an embodied experience of living not inside places, but through, around, to and from them, from and to places elsewhere.  A line of travel is an ongoing process of growth and development, or self-renewal.  Wayfinding has a temporal character, unfolding over time rather than space </w:t>
      </w:r>
      <w:bookmarkStart w:id="5294" w:name="__UnoMark__23645_140394355"/>
      <w:bookmarkStart w:id="5295" w:name="__UnoMark__17425_140394355"/>
      <w:bookmarkStart w:id="5296" w:name="__UnoMark__16039_140394355"/>
      <w:bookmarkStart w:id="5297" w:name="ZOTERO_BREF_Thu8Te7mBLL7"/>
      <w:bookmarkStart w:id="5298" w:name="__UnoMark__40861_2025191570"/>
      <w:bookmarkStart w:id="5299" w:name="__UnoMark__42077_2025191570"/>
      <w:bookmarkStart w:id="5300" w:name="__UnoMark__43328_2025191570"/>
      <w:bookmarkStart w:id="5301" w:name="__UnoMark__44588_2025191570"/>
      <w:r>
        <w:rPr>
          <w:lang w:val="en-GB"/>
        </w:rPr>
        <w:t>(Ingold, 2000c, p. 238)</w:t>
      </w:r>
      <w:bookmarkEnd w:id="5294"/>
      <w:bookmarkEnd w:id="5295"/>
      <w:bookmarkEnd w:id="5296"/>
      <w:bookmarkEnd w:id="5297"/>
      <w:bookmarkEnd w:id="5298"/>
      <w:bookmarkEnd w:id="5299"/>
      <w:bookmarkEnd w:id="5300"/>
      <w:bookmarkEnd w:id="5301"/>
      <w:r>
        <w:rPr>
          <w:lang w:val="en-GB"/>
        </w:rPr>
        <w:t xml:space="preserve">.  </w:t>
      </w:r>
    </w:p>
    <w:p>
      <w:pPr>
        <w:pStyle w:val="Quote"/>
        <w:rPr/>
      </w:pPr>
      <w:r>
        <w:rPr>
          <w:lang w:val="en-GB"/>
        </w:rPr>
        <w:t xml:space="preserve">In [a fleeting moment in a never-ending process] is compressed the movement of the past that brought it about, and in the tension of that compression lies the force that will propel it into the future. It is this enfolding of a generative past and a future potential in the present moment, and not the location of that moment in any abstract chronology, which makes it historical </w:t>
      </w:r>
      <w:bookmarkStart w:id="5302" w:name="__UnoMark__23646_140394355"/>
      <w:bookmarkStart w:id="5303" w:name="__UnoMark__17426_140394355"/>
      <w:bookmarkStart w:id="5304" w:name="__UnoMark__16040_140394355"/>
      <w:bookmarkStart w:id="5305" w:name="ZOTERO_BREF_wtONERaXUTro"/>
      <w:bookmarkStart w:id="5306" w:name="__UnoMark__40862_2025191570"/>
      <w:bookmarkStart w:id="5307" w:name="__UnoMark__42078_2025191570"/>
      <w:bookmarkStart w:id="5308" w:name="__UnoMark__43329_2025191570"/>
      <w:bookmarkStart w:id="5309" w:name="__UnoMark__44589_2025191570"/>
      <w:r>
        <w:rPr>
          <w:b w:val="false"/>
          <w:i w:val="false"/>
          <w:caps w:val="false"/>
          <w:smallCaps w:val="false"/>
          <w:position w:val="0"/>
          <w:sz w:val="22"/>
          <w:sz w:val="22"/>
          <w:u w:val="none"/>
          <w:vertAlign w:val="baseline"/>
        </w:rPr>
        <w:t>(Ingold, 2011a, pp. 26–27)</w:t>
      </w:r>
      <w:bookmarkEnd w:id="5302"/>
      <w:bookmarkEnd w:id="5303"/>
      <w:bookmarkEnd w:id="5304"/>
      <w:bookmarkEnd w:id="5305"/>
      <w:bookmarkEnd w:id="5306"/>
      <w:bookmarkEnd w:id="5307"/>
      <w:bookmarkEnd w:id="5308"/>
      <w:bookmarkEnd w:id="5309"/>
      <w:r>
        <w:rPr>
          <w:lang w:val="en-GB"/>
        </w:rPr>
        <w:t>.</w:t>
      </w:r>
    </w:p>
    <w:p>
      <w:pPr>
        <w:pStyle w:val="Normal"/>
        <w:rPr>
          <w:lang w:val="en-GB"/>
        </w:rPr>
      </w:pPr>
      <w:r>
        <w:rPr>
          <w:lang w:val="en-GB"/>
        </w:rPr>
        <w:t xml:space="preserve">Navigating a maze reflects a problem-solving orientation.  A maze presents the challenge of  finding a way out of the multicursal puzzle with many branches, choices of path, and dead ends.  A labyrinth, however, is a unicursal puzzle with a single non-branching path, so there’s only one entrance and one exit.  Navigating a labyrinth holds few perils of getting lost, so the journey is attentional in nature, rather than intentional </w:t>
      </w:r>
      <w:bookmarkStart w:id="5310" w:name="__UnoMark__23647_140394355"/>
      <w:bookmarkStart w:id="5311" w:name="__UnoMark__17427_140394355"/>
      <w:bookmarkStart w:id="5312" w:name="__UnoMark__16041_140394355"/>
      <w:bookmarkStart w:id="5313" w:name="ZOTERO_BREF_lcrPOSS6Zafx"/>
      <w:bookmarkStart w:id="5314" w:name="__UnoMark__40863_2025191570"/>
      <w:bookmarkStart w:id="5315" w:name="__UnoMark__42079_2025191570"/>
      <w:bookmarkStart w:id="5316" w:name="__UnoMark__43330_2025191570"/>
      <w:bookmarkStart w:id="5317" w:name="__UnoMark__44590_2025191570"/>
      <w:bookmarkStart w:id="5318" w:name="__UnoMark__18643_2025191570"/>
      <w:bookmarkEnd w:id="5318"/>
      <w:r>
        <w:rPr>
          <w:b w:val="false"/>
          <w:i w:val="false"/>
          <w:caps w:val="false"/>
          <w:smallCaps w:val="false"/>
          <w:position w:val="0"/>
          <w:sz w:val="22"/>
          <w:sz w:val="22"/>
          <w:u w:val="none"/>
          <w:vertAlign w:val="baseline"/>
          <w:lang w:val="en-GB"/>
        </w:rPr>
        <w:t>(Ingold, 2007a, pp. 52–57)</w:t>
      </w:r>
      <w:bookmarkStart w:id="5319" w:name="__UnoMark__19037_2025191570"/>
      <w:bookmarkStart w:id="5320" w:name="__UnoMark__19049_2025191570"/>
      <w:bookmarkEnd w:id="5310"/>
      <w:bookmarkEnd w:id="5311"/>
      <w:bookmarkEnd w:id="5312"/>
      <w:bookmarkEnd w:id="5313"/>
      <w:bookmarkEnd w:id="5314"/>
      <w:bookmarkEnd w:id="5315"/>
      <w:bookmarkEnd w:id="5316"/>
      <w:bookmarkEnd w:id="5317"/>
      <w:bookmarkEnd w:id="5319"/>
      <w:bookmarkEnd w:id="5320"/>
      <w:r>
        <w:rPr>
          <w:lang w:val="en-GB"/>
        </w:rPr>
        <w:t>.</w:t>
      </w:r>
    </w:p>
    <w:p>
      <w:pPr>
        <w:pStyle w:val="Normal"/>
        <w:rPr>
          <w:lang w:val="en-GB"/>
        </w:rPr>
      </w:pPr>
      <w:r>
        <w:rPr>
          <w:lang w:val="en-GB"/>
        </w:rPr>
        <w:t>Service systems evolve over time, so wayfaring can lead to discovery of new modes of value  for stakeholders and/or providers on an ongoing basis, or in an incidental situation.  A path which is seen as an anti-pattern in one context could be a positive feature in another context.  Considering alternative spatio-temporal frames could be more productive than narrowing to a single frame and labelling an antipattern.</w:t>
      </w:r>
    </w:p>
    <w:p>
      <w:pPr>
        <w:pStyle w:val="Normal"/>
        <w:rPr>
          <w:lang w:val="en-GB"/>
        </w:rPr>
      </w:pPr>
      <w:r>
        <w:rPr>
          <w:lang w:val="en-GB"/>
        </w:rPr>
        <w:t>The amplifications, rephilosophizations and reinterpretations of a new pattern format for service systems thinking doesn’t invalidate the usefulness of pattern languages already developed for built environments.  Outside of built environments, however, the presumptive doxa might be re-examined.</w:t>
      </w:r>
    </w:p>
    <w:p>
      <w:pPr>
        <w:pStyle w:val="Heading1"/>
        <w:numPr>
          <w:ilvl w:val="0"/>
          <w:numId w:val="2"/>
        </w:numPr>
        <w:ind w:left="0" w:hanging="0"/>
        <w:rPr/>
      </w:pPr>
      <w:r>
        <w:rPr>
          <w:lang w:val="en-GB"/>
        </w:rPr>
        <w:t>Pattern languages are generated and legitimized in communities</w:t>
      </w:r>
    </w:p>
    <w:p>
      <w:pPr>
        <w:pStyle w:val="Normal"/>
        <w:rPr/>
      </w:pPr>
      <w:r>
        <w:rPr>
          <w:lang w:val="en-US" w:eastAsia="ja-JP"/>
        </w:rPr>
        <w:t xml:space="preserve">This pattern manual for service systems thinking is proposed as an initial position for discussion amongst a new community of practice </w:t>
      </w:r>
      <w:bookmarkStart w:id="5321" w:name="__UnoMark__23648_140394355"/>
      <w:bookmarkStart w:id="5322" w:name="__UnoMark__17428_140394355"/>
      <w:bookmarkStart w:id="5323" w:name="__UnoMark__16042_140394355"/>
      <w:bookmarkStart w:id="5324" w:name="__UnoMark__41948_2025191570"/>
      <w:bookmarkStart w:id="5325" w:name="ZOTERO_BREF_iW4A0gH7nF7X"/>
      <w:bookmarkStart w:id="5326" w:name="__UnoMark__43331_2025191570"/>
      <w:bookmarkStart w:id="5327" w:name="__UnoMark__44591_2025191570"/>
      <w:r>
        <w:rPr>
          <w:lang w:val="en-US" w:eastAsia="ja-JP"/>
        </w:rPr>
        <w:t>(Wenger, 1999)</w:t>
      </w:r>
      <w:bookmarkStart w:id="5328" w:name="__UnoMark__42354_2025191570"/>
      <w:bookmarkEnd w:id="5321"/>
      <w:bookmarkEnd w:id="5322"/>
      <w:bookmarkEnd w:id="5323"/>
      <w:bookmarkEnd w:id="5324"/>
      <w:bookmarkEnd w:id="5325"/>
      <w:bookmarkEnd w:id="5326"/>
      <w:bookmarkEnd w:id="5327"/>
      <w:bookmarkEnd w:id="5328"/>
      <w:r>
        <w:rPr>
          <w:lang w:val="en-US" w:eastAsia="ja-JP"/>
        </w:rPr>
        <w:t>.  At this point, the thinking is less refined than the charter published by Alexander in Berkeley in 1967.  Ongoing discussion should reshape some of the concepts, terminology and format.</w:t>
      </w:r>
    </w:p>
    <w:p>
      <w:pPr>
        <w:pStyle w:val="Normal"/>
        <w:rPr/>
      </w:pPr>
      <w:r>
        <w:rPr>
          <w:lang w:val="en-US" w:eastAsia="ja-JP"/>
        </w:rPr>
        <w:t>Since the original 1977 and 1979 books predate the invention of the World Wide Web in 1989, the technology – as well as copyright conventions predating open source licensing beginning 1998 – of that time limited collaboration evolution of the content.</w:t>
      </w:r>
    </w:p>
    <w:p>
      <w:pPr>
        <w:pStyle w:val="Quote"/>
        <w:rPr/>
      </w:pPr>
      <w:r>
        <w:rPr/>
        <w:t xml:space="preserve">In fact the introductory section of </w:t>
      </w:r>
      <w:r>
        <w:rPr>
          <w:b/>
          <w:bCs/>
        </w:rPr>
        <w:t>A Pattern Language</w:t>
      </w:r>
      <w:r>
        <w:rPr/>
        <w:t xml:space="preserve">, “Using This Book,” states, “In this book, we present one possible pattern language, of the kind called for in </w:t>
      </w:r>
      <w:r>
        <w:rPr>
          <w:b/>
          <w:bCs/>
        </w:rPr>
        <w:t>The Timeless Way</w:t>
      </w:r>
      <w:r>
        <w:rPr/>
        <w:t>.” This suggests that many more patterns and pattern languages would be written, and that the existing patterns might well be re-used, modified, or even largely discarded.</w:t>
      </w:r>
    </w:p>
    <w:p>
      <w:pPr>
        <w:pStyle w:val="Quote"/>
        <w:rPr/>
      </w:pPr>
      <w:r>
        <w:rPr/>
        <w:t>But this is not what happened. In part because the book was such a successful complete piece of literature, the original 253 patterns in effect became frozen in time. Patterns and parts of patterns that even the original authors now repudiate have remained unchanged, and no published patterns have been added to this original corpus.</w:t>
      </w:r>
    </w:p>
    <w:p>
      <w:pPr>
        <w:pStyle w:val="Quote"/>
        <w:rPr/>
      </w:pPr>
      <w:r>
        <w:rPr/>
        <w:t>Also contrary to the initial intention ..., the publisher has not released the content of the patterns into the public domain, and several websites that tried to reproduce the content have received warnings of copyright infringement. This represents a severe constraint on the further use, modification and addition to pattern languages in architecture.  [….]</w:t>
      </w:r>
    </w:p>
    <w:p>
      <w:pPr>
        <w:pStyle w:val="Quote"/>
        <w:rPr/>
      </w:pPr>
      <w:r>
        <w:rPr/>
        <w:t xml:space="preserve">Still another limitation of the dominant form of architectural pattern languages is in their basis on paper. Alexander has created a website that uses the hyperlink function, but it requires a subscription payment, and the patterns cannot be modified or added to </w:t>
      </w:r>
      <w:bookmarkStart w:id="5329" w:name="__UnoMark__23649_140394355"/>
      <w:bookmarkStart w:id="5330" w:name="__UnoMark__17429_140394355"/>
      <w:bookmarkStart w:id="5331" w:name="__UnoMark__16043_140394355"/>
      <w:bookmarkStart w:id="5332" w:name="ZOTERO_BREF_DcitseA429dj"/>
      <w:bookmarkStart w:id="5333" w:name="__UnoMark__40864_2025191570"/>
      <w:bookmarkStart w:id="5334" w:name="__UnoMark__42080_2025191570"/>
      <w:bookmarkStart w:id="5335" w:name="__UnoMark__43332_2025191570"/>
      <w:bookmarkStart w:id="5336" w:name="__UnoMark__44592_2025191570"/>
      <w:r>
        <w:rPr/>
        <w:t>(Cunningham &amp; Mehaffy, 2013, p. 6)</w:t>
      </w:r>
      <w:bookmarkEnd w:id="5329"/>
      <w:bookmarkEnd w:id="5330"/>
      <w:bookmarkEnd w:id="5331"/>
      <w:bookmarkEnd w:id="5332"/>
      <w:bookmarkEnd w:id="5333"/>
      <w:bookmarkEnd w:id="5334"/>
      <w:bookmarkEnd w:id="5335"/>
      <w:bookmarkEnd w:id="5336"/>
      <w:r>
        <w:rPr/>
        <w:t>.</w:t>
      </w:r>
    </w:p>
    <w:p>
      <w:pPr>
        <w:pStyle w:val="Normal"/>
        <w:rPr/>
      </w:pPr>
      <w:r>
        <w:rPr>
          <w:lang w:val="en-US" w:eastAsia="ja-JP"/>
        </w:rPr>
        <w:t xml:space="preserve">Wiki was invented in March 1995 by Ward Cunningham </w:t>
      </w:r>
      <w:bookmarkStart w:id="5337" w:name="__UnoMark__23650_140394355"/>
      <w:bookmarkStart w:id="5338" w:name="__UnoMark__17430_140394355"/>
      <w:bookmarkStart w:id="5339" w:name="__UnoMark__16044_140394355"/>
      <w:bookmarkStart w:id="5340" w:name="__UnoMark__40732_2025191570"/>
      <w:bookmarkStart w:id="5341" w:name="ZOTERO_BREF_hmxtfQKE3HKX"/>
      <w:bookmarkStart w:id="5342" w:name="__UnoMark__42081_2025191570"/>
      <w:bookmarkStart w:id="5343" w:name="__UnoMark__43333_2025191570"/>
      <w:bookmarkStart w:id="5344" w:name="__UnoMark__44593_2025191570"/>
      <w:r>
        <w:rPr>
          <w:lang w:val="en-US" w:eastAsia="ja-JP"/>
        </w:rPr>
        <w:t>(Cunningham, 1995)</w:t>
      </w:r>
      <w:bookmarkStart w:id="5345" w:name="__UnoMark__41135_2025191570"/>
      <w:bookmarkEnd w:id="5337"/>
      <w:bookmarkEnd w:id="5338"/>
      <w:bookmarkEnd w:id="5339"/>
      <w:bookmarkEnd w:id="5340"/>
      <w:bookmarkEnd w:id="5341"/>
      <w:bookmarkEnd w:id="5342"/>
      <w:bookmarkEnd w:id="5343"/>
      <w:bookmarkEnd w:id="5344"/>
      <w:bookmarkEnd w:id="5345"/>
      <w:r>
        <w:rPr>
          <w:lang w:val="en-US" w:eastAsia="ja-JP"/>
        </w:rPr>
        <w:t>.  The Hillside Group formed in August 1993 organized the first PLoP (Pattern Languages of Programs) conference in August 1994.  In March 1995, an invitation was sent to the Patterns mailing list to collaborate on the Portland Pattern Repository.  The feature of hyperlinking within the wiki complemented the cross-referencing nature of pattern language.</w:t>
      </w:r>
    </w:p>
    <w:p>
      <w:pPr>
        <w:pStyle w:val="Normal"/>
        <w:rPr/>
      </w:pPr>
      <w:r>
        <w:rPr>
          <w:lang w:val="en-US" w:eastAsia="ja-JP"/>
        </w:rPr>
        <w:t>As a technology, it would take another decade for wiki to become popular.  Wikipedia was founded in 2001, and the word "wiki" would only enter the Oxford English Dictionary in 2007.  Few pattern communities have taken advantage of wiki technology since the Portland Pattern Repository.  The ScrumPLoP community is an exception, with online content since 2008.</w:t>
      </w:r>
    </w:p>
    <w:p>
      <w:pPr>
        <w:pStyle w:val="Normal"/>
        <w:rPr/>
      </w:pPr>
      <w:r>
        <w:rPr>
          <w:lang w:val="en-US" w:eastAsia="ja-JP"/>
        </w:rPr>
        <w:t>The wiki of 20</w:t>
      </w:r>
      <w:r>
        <w:rPr>
          <w:vertAlign w:val="superscript"/>
          <w:lang w:val="en-US" w:eastAsia="ja-JP"/>
        </w:rPr>
        <w:t>th</w:t>
      </w:r>
      <w:r>
        <w:rPr>
          <w:lang w:val="en-US" w:eastAsia="ja-JP"/>
        </w:rPr>
        <w:t xml:space="preserve"> century unfortunately only supports well objective modes of inquiry, through inductive consensual or analytic deductive ways of knowing </w:t>
      </w:r>
      <w:bookmarkStart w:id="5346" w:name="__UnoMark__23651_140394355"/>
      <w:bookmarkStart w:id="5347" w:name="__UnoMark__17431_140394355"/>
      <w:bookmarkStart w:id="5348" w:name="__UnoMark__16045_140394355"/>
      <w:bookmarkStart w:id="5349" w:name="__UnoMark__43199_2025191570"/>
      <w:bookmarkStart w:id="5350" w:name="ZOTERO_BREF_PCww3IAF1EQs"/>
      <w:bookmarkStart w:id="5351" w:name="__UnoMark__44594_2025191570"/>
      <w:r>
        <w:rPr>
          <w:lang w:val="en-US" w:eastAsia="ja-JP"/>
        </w:rPr>
        <w:t>(Churchman, 1971)</w:t>
      </w:r>
      <w:bookmarkStart w:id="5352" w:name="__UnoMark__43608_2025191570"/>
      <w:bookmarkEnd w:id="5346"/>
      <w:bookmarkEnd w:id="5347"/>
      <w:bookmarkEnd w:id="5348"/>
      <w:bookmarkEnd w:id="5349"/>
      <w:bookmarkEnd w:id="5350"/>
      <w:bookmarkEnd w:id="5351"/>
      <w:bookmarkEnd w:id="5352"/>
      <w:r>
        <w:rPr>
          <w:lang w:val="en-US" w:eastAsia="ja-JP"/>
        </w:rPr>
        <w:t>.  Alternative designs, shows in Table 8, should also support multiple realities and dialectic, potentially leading to a systems approach.</w:t>
      </w:r>
    </w:p>
    <w:p>
      <w:pPr>
        <w:pStyle w:val="Caption1"/>
        <w:keepNext/>
        <w:bidi w:val="0"/>
        <w:jc w:val="left"/>
        <w:rPr/>
      </w:pPr>
      <w:r>
        <w:rPr>
          <w:lang w:val="en-GB"/>
        </w:rPr>
        <w:t xml:space="preserve">Table </w:t>
      </w:r>
      <w:r>
        <w:rPr>
          <w:lang w:val="en-GB"/>
        </w:rPr>
        <w:fldChar w:fldCharType="begin"/>
      </w:r>
      <w:r>
        <w:instrText> SEQ Table \* ARABIC </w:instrText>
      </w:r>
      <w:r>
        <w:fldChar w:fldCharType="separate"/>
      </w:r>
      <w:r>
        <w:t>8</w:t>
      </w:r>
      <w:r>
        <w:fldChar w:fldCharType="end"/>
      </w:r>
      <w:r>
        <w:rPr>
          <w:lang w:val="en-GB"/>
        </w:rPr>
        <w:t>: The design of inquiring systems</w:t>
      </w:r>
    </w:p>
    <w:tbl>
      <w:tblPr>
        <w:tblW w:w="9071" w:type="dxa"/>
        <w:jc w:val="left"/>
        <w:tblInd w:w="13" w:type="dxa"/>
        <w:tblBorders>
          <w:top w:val="single" w:sz="2" w:space="0" w:color="000001"/>
          <w:left w:val="single" w:sz="2" w:space="0" w:color="000001"/>
          <w:bottom w:val="single" w:sz="2" w:space="0" w:color="000001"/>
          <w:insideH w:val="single" w:sz="2" w:space="0" w:color="000001"/>
        </w:tblBorders>
        <w:tblCellMar>
          <w:top w:w="55" w:type="dxa"/>
          <w:left w:w="9" w:type="dxa"/>
          <w:bottom w:w="55" w:type="dxa"/>
          <w:right w:w="55" w:type="dxa"/>
        </w:tblCellMar>
      </w:tblPr>
      <w:tblGrid>
        <w:gridCol w:w="1813"/>
        <w:gridCol w:w="3804"/>
        <w:gridCol w:w="3454"/>
      </w:tblGrid>
      <w:tr>
        <w:trPr>
          <w:tblHeader w:val="true"/>
        </w:trPr>
        <w:tc>
          <w:tcPr>
            <w:tcW w:w="181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Heading"/>
              <w:keepNext/>
              <w:rPr/>
            </w:pPr>
            <w:r>
              <w:rPr>
                <w:i/>
                <w:iCs/>
              </w:rPr>
              <w:t>Way of knowing</w:t>
            </w:r>
          </w:p>
        </w:tc>
        <w:tc>
          <w:tcPr>
            <w:tcW w:w="380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Heading"/>
              <w:rPr/>
            </w:pPr>
            <w:r>
              <w:rPr>
                <w:i/>
                <w:iCs/>
              </w:rPr>
              <w:t>Inquiring System</w:t>
            </w:r>
          </w:p>
        </w:tc>
        <w:tc>
          <w:tcPr>
            <w:tcW w:w="34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Heading"/>
              <w:rPr/>
            </w:pPr>
            <w:r>
              <w:rPr>
                <w:i/>
                <w:iCs/>
              </w:rPr>
              <w:t>Philosopher</w:t>
            </w:r>
          </w:p>
        </w:tc>
      </w:tr>
      <w:tr>
        <w:trPr/>
        <w:tc>
          <w:tcPr>
            <w:tcW w:w="181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First</w:t>
            </w:r>
          </w:p>
        </w:tc>
        <w:tc>
          <w:tcPr>
            <w:tcW w:w="380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Inductive Consensual (agreement)</w:t>
            </w:r>
          </w:p>
        </w:tc>
        <w:tc>
          <w:tcPr>
            <w:tcW w:w="34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John Locke</w:t>
            </w:r>
          </w:p>
        </w:tc>
      </w:tr>
      <w:tr>
        <w:trPr/>
        <w:tc>
          <w:tcPr>
            <w:tcW w:w="181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Second</w:t>
            </w:r>
          </w:p>
        </w:tc>
        <w:tc>
          <w:tcPr>
            <w:tcW w:w="380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Analytic Deductive (fact nets)</w:t>
            </w:r>
          </w:p>
        </w:tc>
        <w:tc>
          <w:tcPr>
            <w:tcW w:w="34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Gotfried Wilhelm Leibniz</w:t>
            </w:r>
          </w:p>
        </w:tc>
      </w:tr>
      <w:tr>
        <w:trPr/>
        <w:tc>
          <w:tcPr>
            <w:tcW w:w="181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Third</w:t>
            </w:r>
          </w:p>
        </w:tc>
        <w:tc>
          <w:tcPr>
            <w:tcW w:w="380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Multiple Realities (representations)</w:t>
            </w:r>
          </w:p>
        </w:tc>
        <w:tc>
          <w:tcPr>
            <w:tcW w:w="34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Immanuel Kant</w:t>
            </w:r>
          </w:p>
        </w:tc>
      </w:tr>
      <w:tr>
        <w:trPr/>
        <w:tc>
          <w:tcPr>
            <w:tcW w:w="181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Fourth</w:t>
            </w:r>
          </w:p>
        </w:tc>
        <w:tc>
          <w:tcPr>
            <w:tcW w:w="380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Dialectic (conflict)</w:t>
            </w:r>
          </w:p>
        </w:tc>
        <w:tc>
          <w:tcPr>
            <w:tcW w:w="34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Georg Wilhelm Friedrich Hegel</w:t>
            </w:r>
          </w:p>
        </w:tc>
      </w:tr>
      <w:tr>
        <w:trPr/>
        <w:tc>
          <w:tcPr>
            <w:tcW w:w="1813"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keepNext/>
              <w:rPr/>
            </w:pPr>
            <w:r>
              <w:rPr/>
              <w:t>Fifth</w:t>
            </w:r>
          </w:p>
        </w:tc>
        <w:tc>
          <w:tcPr>
            <w:tcW w:w="3804" w:type="dxa"/>
            <w:tcBorders>
              <w:top w:val="single" w:sz="2" w:space="0" w:color="000001"/>
              <w:left w:val="single" w:sz="2" w:space="0" w:color="000001"/>
              <w:bottom w:val="single" w:sz="2" w:space="0" w:color="000001"/>
              <w:insideH w:val="single" w:sz="2" w:space="0" w:color="000001"/>
            </w:tcBorders>
            <w:shd w:fill="auto" w:val="clear"/>
            <w:tcMar>
              <w:left w:w="9" w:type="dxa"/>
            </w:tcMar>
          </w:tcPr>
          <w:p>
            <w:pPr>
              <w:pStyle w:val="TableContents"/>
              <w:rPr/>
            </w:pPr>
            <w:r>
              <w:rPr/>
              <w:t>Systems Approach</w:t>
            </w:r>
          </w:p>
          <w:p>
            <w:pPr>
              <w:pStyle w:val="TableContents"/>
              <w:rPr/>
            </w:pPr>
            <w:r>
              <w:rPr/>
              <w:t>(progress, sweeping in)</w:t>
            </w:r>
          </w:p>
        </w:tc>
        <w:tc>
          <w:tcPr>
            <w:tcW w:w="345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9" w:type="dxa"/>
            </w:tcMar>
          </w:tcPr>
          <w:p>
            <w:pPr>
              <w:pStyle w:val="TableContents"/>
              <w:rPr/>
            </w:pPr>
            <w:r>
              <w:rPr/>
              <w:t>Edgar Arthur Singer;</w:t>
            </w:r>
          </w:p>
          <w:p>
            <w:pPr>
              <w:pStyle w:val="TableContents"/>
              <w:rPr/>
            </w:pPr>
            <w:r>
              <w:rPr/>
              <w:t>C. West Churchman</w:t>
            </w:r>
          </w:p>
        </w:tc>
      </w:tr>
    </w:tbl>
    <w:p>
      <w:pPr>
        <w:pStyle w:val="Normal"/>
        <w:rPr/>
      </w:pPr>
      <w:r>
        <w:rPr>
          <w:lang w:val="en-GB" w:eastAsia="ja-JP"/>
        </w:rPr>
        <w:br/>
        <w:t xml:space="preserve">These additional subjective modes of inquiry are being pioneered on federated wiki technology initiated by Cunningham </w:t>
      </w:r>
      <w:bookmarkStart w:id="5353" w:name="__UnoMark__23652_140394355"/>
      <w:bookmarkStart w:id="5354" w:name="__UnoMark__17432_140394355"/>
      <w:bookmarkStart w:id="5355" w:name="__UnoMark__16046_140394355"/>
      <w:bookmarkStart w:id="5356" w:name="__UnoMark__44459_2025191570"/>
      <w:bookmarkStart w:id="5357" w:name="ZOTERO_BREF_sZJ3n3NvbaDi"/>
      <w:r>
        <w:rPr>
          <w:lang w:val="en-GB" w:eastAsia="ja-JP"/>
        </w:rPr>
        <w:t>(Finley, 2012)</w:t>
      </w:r>
      <w:bookmarkEnd w:id="5353"/>
      <w:bookmarkEnd w:id="5354"/>
      <w:bookmarkEnd w:id="5355"/>
      <w:bookmarkEnd w:id="5356"/>
      <w:bookmarkEnd w:id="5357"/>
      <w:r>
        <w:rPr>
          <w:lang w:val="en-GB" w:eastAsia="ja-JP"/>
        </w:rPr>
        <w:t>.  Ongoing development is following a pace of piecemeal growth, with feature enhancement requests welcomed and openly discussed.</w:t>
      </w:r>
    </w:p>
    <w:p>
      <w:pPr>
        <w:pStyle w:val="Normal"/>
        <w:rPr>
          <w:lang w:val="en-GB"/>
        </w:rPr>
      </w:pPr>
      <w:r>
        <w:rPr>
          <w:lang w:val="en-US" w:eastAsia="ja-JP"/>
        </w:rPr>
        <w:t>Discussion on creating a new pattern language for service systems thinking is welcomed.</w:t>
      </w:r>
    </w:p>
    <w:p>
      <w:pPr>
        <w:pStyle w:val="Heading1"/>
        <w:numPr>
          <w:ilvl w:val="0"/>
          <w:numId w:val="2"/>
        </w:numPr>
        <w:ind w:left="0" w:hanging="0"/>
        <w:rPr>
          <w:lang w:val="en-GB"/>
        </w:rPr>
      </w:pPr>
      <w:r>
        <w:rPr>
          <w:lang w:val="en-GB"/>
        </w:rPr>
        <w:t>References</w:t>
      </w:r>
    </w:p>
    <w:p>
      <w:pPr>
        <w:pStyle w:val="References"/>
        <w:rPr/>
      </w:pPr>
      <w:bookmarkStart w:id="5358" w:name="ZOTERO_BREF_Fr3jAG5G4YKc"/>
      <w:bookmarkStart w:id="5359" w:name="__UnoMark__23653_140394355"/>
      <w:bookmarkStart w:id="5360" w:name="__UnoMark__17433_140394355"/>
      <w:bookmarkStart w:id="5361" w:name="__UnoMark__16047_140394355"/>
      <w:bookmarkEnd w:id="5359"/>
      <w:bookmarkEnd w:id="5360"/>
      <w:bookmarkEnd w:id="5361"/>
      <w:r>
        <w:rPr/>
        <w:t xml:space="preserve">Ackermann, F., &amp; Eden, C. (2010). Strategic Options Development and Analysis. In M. Reynolds &amp; S. Holwell (Eds.), </w:t>
      </w:r>
      <w:r>
        <w:rPr>
          <w:i/>
        </w:rPr>
        <w:t>Systems Approaches to Managing Change: A Practical Guide</w:t>
      </w:r>
      <w:r>
        <w:rPr/>
        <w:t xml:space="preserve"> (pp. 135–190). London: Springer London. Retrieved from </w:t>
      </w:r>
      <w:hyperlink r:id="rId4">
        <w:r>
          <w:rPr>
            <w:rStyle w:val="InternetLink"/>
          </w:rPr>
          <w:t>http://dx.doi.org/10.1007/978-1-84882-809-4_4</w:t>
        </w:r>
      </w:hyperlink>
      <w:r>
        <w:rPr/>
        <w:t xml:space="preserve"> </w:t>
      </w:r>
    </w:p>
    <w:p>
      <w:pPr>
        <w:pStyle w:val="References"/>
        <w:rPr/>
      </w:pPr>
      <w:r>
        <w:rPr/>
        <w:t xml:space="preserve">Ackoff, R. L. (1981). </w:t>
      </w:r>
      <w:r>
        <w:rPr>
          <w:i/>
        </w:rPr>
        <w:t>Creating the Corporate Future: Plan or Be Planned For</w:t>
      </w:r>
      <w:r>
        <w:rPr/>
        <w:t xml:space="preserve">. New York: John Wiley and Sons. </w:t>
      </w:r>
    </w:p>
    <w:p>
      <w:pPr>
        <w:pStyle w:val="References"/>
        <w:rPr/>
      </w:pPr>
      <w:r>
        <w:rPr/>
        <w:t xml:space="preserve">Ackoff, R. L., &amp; Emery, F. E. (1972). </w:t>
      </w:r>
      <w:r>
        <w:rPr>
          <w:i/>
        </w:rPr>
        <w:t>On purposeful systems</w:t>
      </w:r>
      <w:r>
        <w:rPr/>
        <w:t>. Aldine-Atherton.</w:t>
      </w:r>
    </w:p>
    <w:p>
      <w:pPr>
        <w:pStyle w:val="References"/>
        <w:rPr/>
      </w:pPr>
      <w:r>
        <w:rPr/>
        <w:t xml:space="preserve">Alexander, C. (1966). A City is Not a Tree. </w:t>
      </w:r>
      <w:r>
        <w:rPr>
          <w:i/>
        </w:rPr>
        <w:t>Design</w:t>
      </w:r>
      <w:r>
        <w:rPr/>
        <w:t xml:space="preserve">, </w:t>
      </w:r>
      <w:r>
        <w:rPr>
          <w:i/>
        </w:rPr>
        <w:t>206</w:t>
      </w:r>
      <w:r>
        <w:rPr/>
        <w:t xml:space="preserve">, 46–55. Retrieved from </w:t>
      </w:r>
      <w:hyperlink r:id="rId5">
        <w:r>
          <w:rPr>
            <w:rStyle w:val="InternetLink"/>
          </w:rPr>
          <w:t>http://vads.ac.uk/diad/article.php?year=1966&amp;title=206&amp;article=d.206.27</w:t>
        </w:r>
      </w:hyperlink>
      <w:r>
        <w:rPr/>
        <w:t xml:space="preserve"> </w:t>
      </w:r>
    </w:p>
    <w:p>
      <w:pPr>
        <w:pStyle w:val="References"/>
        <w:rPr/>
      </w:pPr>
      <w:r>
        <w:rPr/>
        <w:t xml:space="preserve">Alexander, C. (1968). Systems Generating Systems. </w:t>
      </w:r>
      <w:r>
        <w:rPr>
          <w:i/>
        </w:rPr>
        <w:t>Architectural Digest</w:t>
      </w:r>
      <w:r>
        <w:rPr/>
        <w:t xml:space="preserve">, </w:t>
      </w:r>
      <w:r>
        <w:rPr>
          <w:i/>
        </w:rPr>
        <w:t>38</w:t>
      </w:r>
      <w:r>
        <w:rPr/>
        <w:t xml:space="preserve">. </w:t>
      </w:r>
    </w:p>
    <w:p>
      <w:pPr>
        <w:pStyle w:val="References"/>
        <w:rPr/>
      </w:pPr>
      <w:r>
        <w:rPr/>
        <w:t xml:space="preserve">Alexander, C. (1979). </w:t>
      </w:r>
      <w:r>
        <w:rPr>
          <w:i/>
        </w:rPr>
        <w:t>The Timeless Way of Building</w:t>
      </w:r>
      <w:r>
        <w:rPr/>
        <w:t xml:space="preserve">. Oxford University Press. </w:t>
      </w:r>
    </w:p>
    <w:p>
      <w:pPr>
        <w:pStyle w:val="References"/>
        <w:rPr/>
      </w:pPr>
      <w:r>
        <w:rPr/>
        <w:t xml:space="preserve">Alexander, C. (2003, May). </w:t>
      </w:r>
      <w:r>
        <w:rPr>
          <w:i/>
        </w:rPr>
        <w:t>New Concepts In Complexity Theory: A Scientific Introduction to the Concepts in the Nature of Order</w:t>
      </w:r>
      <w:r>
        <w:rPr/>
        <w:t xml:space="preserve">. Retrieved from </w:t>
      </w:r>
      <w:hyperlink r:id="rId6">
        <w:r>
          <w:rPr>
            <w:rStyle w:val="InternetLink"/>
          </w:rPr>
          <w:t>http://www.natureoforder.com/library-of-articles.htm</w:t>
        </w:r>
      </w:hyperlink>
      <w:r>
        <w:rPr/>
        <w:t xml:space="preserve"> </w:t>
      </w:r>
    </w:p>
    <w:p>
      <w:pPr>
        <w:pStyle w:val="References"/>
        <w:rPr/>
      </w:pPr>
      <w:r>
        <w:rPr/>
        <w:t xml:space="preserve">Alexander, C. (2004). </w:t>
      </w:r>
      <w:r>
        <w:rPr>
          <w:i/>
        </w:rPr>
        <w:t>The Luminous Ground: An essay on the art of building and the nature of the universe</w:t>
      </w:r>
      <w:r>
        <w:rPr/>
        <w:t xml:space="preserve"> (Vol. 10). Center for Environmental Structure.</w:t>
      </w:r>
    </w:p>
    <w:p>
      <w:pPr>
        <w:pStyle w:val="References"/>
        <w:rPr/>
      </w:pPr>
      <w:r>
        <w:rPr/>
        <w:t xml:space="preserve">Alexander, C. (2006). The Relationships Between Pattern Languages, Sequences and Generative Codes. Retrieved from </w:t>
      </w:r>
      <w:hyperlink r:id="rId7">
        <w:r>
          <w:rPr>
            <w:rStyle w:val="InternetLink"/>
          </w:rPr>
          <w:t>http://www.livingneighborhoods.org/ht-0/patternlanguages.htm</w:t>
        </w:r>
      </w:hyperlink>
      <w:r>
        <w:rPr/>
        <w:t xml:space="preserve"> </w:t>
      </w:r>
    </w:p>
    <w:p>
      <w:pPr>
        <w:pStyle w:val="References"/>
        <w:rPr/>
      </w:pPr>
      <w:r>
        <w:rPr/>
        <w:t xml:space="preserve">Alexander, C. (2007). Empirical Findings from The Nature of Order. </w:t>
      </w:r>
      <w:r>
        <w:rPr>
          <w:i/>
        </w:rPr>
        <w:t>Environmental &amp; Architectural Phenomenology</w:t>
      </w:r>
      <w:r>
        <w:rPr/>
        <w:t xml:space="preserve">, </w:t>
      </w:r>
      <w:r>
        <w:rPr>
          <w:i/>
        </w:rPr>
        <w:t>18</w:t>
      </w:r>
      <w:r>
        <w:rPr/>
        <w:t xml:space="preserve">(1), 11–19. Retrieved from </w:t>
      </w:r>
      <w:hyperlink r:id="rId8">
        <w:r>
          <w:rPr>
            <w:rStyle w:val="InternetLink"/>
          </w:rPr>
          <w:t>http://www.arch.ksu.edu/seamon/Alexander_Nature%20of%20Order.htm</w:t>
        </w:r>
      </w:hyperlink>
      <w:r>
        <w:rPr/>
        <w:t xml:space="preserve"> </w:t>
      </w:r>
    </w:p>
    <w:p>
      <w:pPr>
        <w:pStyle w:val="References"/>
        <w:rPr/>
      </w:pPr>
      <w:r>
        <w:rPr/>
        <w:t xml:space="preserve">Alexander, C. (2012). </w:t>
      </w:r>
      <w:r>
        <w:rPr>
          <w:i/>
        </w:rPr>
        <w:t>The Battle for the Life and Beauty of the Earth: A Struggle Between Two World-Systems</w:t>
      </w:r>
      <w:r>
        <w:rPr/>
        <w:t xml:space="preserve">. Oxford University Press. </w:t>
      </w:r>
    </w:p>
    <w:p>
      <w:pPr>
        <w:pStyle w:val="References"/>
        <w:rPr/>
      </w:pPr>
      <w:r>
        <w:rPr/>
        <w:t xml:space="preserve">Alexander, C., Ishikawa, S., &amp; Silverstein, M. (1967). </w:t>
      </w:r>
      <w:r>
        <w:rPr>
          <w:i/>
        </w:rPr>
        <w:t>Pattern Manual</w:t>
      </w:r>
      <w:r>
        <w:rPr/>
        <w:t xml:space="preserve">. Berkeley, California: Center for Environmental Structure. </w:t>
      </w:r>
    </w:p>
    <w:p>
      <w:pPr>
        <w:pStyle w:val="References"/>
        <w:rPr/>
      </w:pPr>
      <w:r>
        <w:rPr/>
        <w:t xml:space="preserve">Alexander, C., Ishikawa, S., &amp; Silverstein, M. (1968). </w:t>
      </w:r>
      <w:r>
        <w:rPr>
          <w:i/>
        </w:rPr>
        <w:t>A Pattern Language which Generates Multi-service Centers</w:t>
      </w:r>
      <w:r>
        <w:rPr/>
        <w:t xml:space="preserve">. Center for Environmental Structure. </w:t>
      </w:r>
    </w:p>
    <w:p>
      <w:pPr>
        <w:pStyle w:val="References"/>
        <w:rPr/>
      </w:pPr>
      <w:r>
        <w:rPr/>
        <w:t xml:space="preserve">Alexander, C., Ishikawa, S., &amp; Silverstein, M. (1977). </w:t>
      </w:r>
      <w:r>
        <w:rPr>
          <w:i/>
        </w:rPr>
        <w:t>A Pattern Language: Towns, Building, Construction</w:t>
      </w:r>
      <w:r>
        <w:rPr/>
        <w:t xml:space="preserve">. New York: Oxford University Press US. </w:t>
      </w:r>
    </w:p>
    <w:p>
      <w:pPr>
        <w:pStyle w:val="References"/>
        <w:rPr/>
      </w:pPr>
      <w:r>
        <w:rPr/>
        <w:t xml:space="preserve">Alexander, C., Silverstein, M., Angel, S., Ishikawa, S., &amp; Abrams, D. (1975). </w:t>
      </w:r>
      <w:r>
        <w:rPr>
          <w:i/>
        </w:rPr>
        <w:t>The Oregon Experiment</w:t>
      </w:r>
      <w:r>
        <w:rPr/>
        <w:t xml:space="preserve">. Oxford University Press. </w:t>
      </w:r>
    </w:p>
    <w:p>
      <w:pPr>
        <w:pStyle w:val="References"/>
        <w:rPr/>
      </w:pPr>
      <w:r>
        <w:rPr/>
        <w:t xml:space="preserve">Aligica, P. D. (2011). A critical realist image of the future Wendell Bell’s contribution to the foundations of futures studies. </w:t>
      </w:r>
      <w:r>
        <w:rPr>
          <w:i/>
        </w:rPr>
        <w:t>Futures</w:t>
      </w:r>
      <w:r>
        <w:rPr/>
        <w:t xml:space="preserve">, </w:t>
      </w:r>
      <w:r>
        <w:rPr>
          <w:i/>
        </w:rPr>
        <w:t>43</w:t>
      </w:r>
      <w:r>
        <w:rPr/>
        <w:t xml:space="preserve">(6), 610–617. </w:t>
      </w:r>
      <w:hyperlink r:id="rId9">
        <w:r>
          <w:rPr>
            <w:rStyle w:val="InternetLink"/>
          </w:rPr>
          <w:t>http://doi.org/10.1016/j.futures.2011.04.011</w:t>
        </w:r>
      </w:hyperlink>
      <w:r>
        <w:rPr/>
        <w:t xml:space="preserve"> </w:t>
      </w:r>
    </w:p>
    <w:p>
      <w:pPr>
        <w:pStyle w:val="References"/>
        <w:rPr/>
      </w:pPr>
      <w:r>
        <w:rPr/>
        <w:t xml:space="preserve">Ambler, S. W. (2011, March 30). Agile at 10: What We Believe. </w:t>
      </w:r>
      <w:r>
        <w:rPr>
          <w:i/>
        </w:rPr>
        <w:t>Dr. Dobb’s Journal</w:t>
      </w:r>
      <w:r>
        <w:rPr/>
        <w:t xml:space="preserve">. Retrieved from </w:t>
      </w:r>
      <w:hyperlink r:id="rId10">
        <w:r>
          <w:rPr>
            <w:rStyle w:val="InternetLink"/>
          </w:rPr>
          <w:t>http://www.drdobbs.com/architecture-and-design/agile-at-10-what-we-believe-scott-ambler/229301128</w:t>
        </w:r>
      </w:hyperlink>
      <w:r>
        <w:rPr/>
        <w:t xml:space="preserve"> </w:t>
      </w:r>
    </w:p>
    <w:p>
      <w:pPr>
        <w:pStyle w:val="References"/>
        <w:rPr/>
      </w:pPr>
      <w:r>
        <w:rPr/>
        <w:t xml:space="preserve">Ambler, S. W., &amp; Lines, M. (2012). </w:t>
      </w:r>
      <w:r>
        <w:rPr>
          <w:i/>
        </w:rPr>
        <w:t>Disciplined Agile Delivery: A Practitioner’s Guide to Agile Software Delivery in the Enterprise</w:t>
      </w:r>
      <w:r>
        <w:rPr/>
        <w:t xml:space="preserve">. IBM Press. </w:t>
      </w:r>
    </w:p>
    <w:p>
      <w:pPr>
        <w:pStyle w:val="References"/>
        <w:rPr/>
      </w:pPr>
      <w:r>
        <w:rPr/>
        <w:t xml:space="preserve">Bateson, G. (1963). The Role of Somatic Change in Evolution. </w:t>
      </w:r>
      <w:r>
        <w:rPr>
          <w:i/>
        </w:rPr>
        <w:t>Evolution</w:t>
      </w:r>
      <w:r>
        <w:rPr/>
        <w:t xml:space="preserve">, </w:t>
      </w:r>
      <w:r>
        <w:rPr>
          <w:i/>
        </w:rPr>
        <w:t>17</w:t>
      </w:r>
      <w:r>
        <w:rPr/>
        <w:t xml:space="preserve">(4), 529–539. </w:t>
      </w:r>
      <w:hyperlink r:id="rId11">
        <w:r>
          <w:rPr>
            <w:rStyle w:val="InternetLink"/>
          </w:rPr>
          <w:t>http://doi.org/10.2307/2407104</w:t>
        </w:r>
      </w:hyperlink>
      <w:r>
        <w:rPr/>
        <w:t xml:space="preserve"> </w:t>
      </w:r>
    </w:p>
    <w:p>
      <w:pPr>
        <w:pStyle w:val="References"/>
        <w:rPr/>
      </w:pPr>
      <w:r>
        <w:rPr/>
        <w:t xml:space="preserve">Beisner, B. E., Haydon, D. T., &amp; Cuddington, K. (2003). Alternative stable states in ecology. </w:t>
      </w:r>
      <w:r>
        <w:rPr>
          <w:i/>
        </w:rPr>
        <w:t>Frontiers in Ecology and the Environment</w:t>
      </w:r>
      <w:r>
        <w:rPr/>
        <w:t xml:space="preserve">, </w:t>
      </w:r>
      <w:r>
        <w:rPr>
          <w:i/>
        </w:rPr>
        <w:t>1</w:t>
      </w:r>
      <w:r>
        <w:rPr/>
        <w:t xml:space="preserve">(7), 376–382. </w:t>
      </w:r>
      <w:hyperlink r:id="rId12">
        <w:r>
          <w:rPr>
            <w:rStyle w:val="InternetLink"/>
          </w:rPr>
          <w:t>http://doi.org/10.2307/3868190</w:t>
        </w:r>
      </w:hyperlink>
      <w:r>
        <w:rPr/>
        <w:t xml:space="preserve"> </w:t>
      </w:r>
    </w:p>
    <w:p>
      <w:pPr>
        <w:pStyle w:val="References"/>
        <w:rPr/>
      </w:pPr>
      <w:r>
        <w:rPr/>
        <w:t xml:space="preserve">Blattner, W. (2005). Temporality. In H. L. Dreyfus &amp; M. A. Wrathall (Eds.), </w:t>
      </w:r>
      <w:r>
        <w:rPr>
          <w:i/>
        </w:rPr>
        <w:t>A Companion to Heidegger</w:t>
      </w:r>
      <w:r>
        <w:rPr/>
        <w:t xml:space="preserve"> (pp. 311–324). Wiley-Blackwell. </w:t>
      </w:r>
    </w:p>
    <w:p>
      <w:pPr>
        <w:pStyle w:val="References"/>
        <w:rPr/>
      </w:pPr>
      <w:r>
        <w:rPr/>
        <w:t xml:space="preserve">Brand, S. (1994). </w:t>
      </w:r>
      <w:r>
        <w:rPr>
          <w:i/>
        </w:rPr>
        <w:t>How buildings learn: what happens after they’re built</w:t>
      </w:r>
      <w:r>
        <w:rPr/>
        <w:t xml:space="preserve">. New York: Viking. </w:t>
      </w:r>
    </w:p>
    <w:p>
      <w:pPr>
        <w:pStyle w:val="References"/>
        <w:rPr/>
      </w:pPr>
      <w:r>
        <w:rPr/>
        <w:t xml:space="preserve">Brand, S. (1999). </w:t>
      </w:r>
      <w:r>
        <w:rPr>
          <w:i/>
        </w:rPr>
        <w:t>The clock of the long now: time and responsibility</w:t>
      </w:r>
      <w:r>
        <w:rPr/>
        <w:t>. Basic Books.</w:t>
      </w:r>
    </w:p>
    <w:p>
      <w:pPr>
        <w:pStyle w:val="References"/>
        <w:rPr/>
      </w:pPr>
      <w:r>
        <w:rPr/>
        <w:t xml:space="preserve">Cameron, J. (2002). Configurable development processes. </w:t>
      </w:r>
      <w:r>
        <w:rPr>
          <w:i/>
        </w:rPr>
        <w:t>Communications of the ACM</w:t>
      </w:r>
      <w:r>
        <w:rPr/>
        <w:t xml:space="preserve">, </w:t>
      </w:r>
      <w:r>
        <w:rPr>
          <w:i/>
        </w:rPr>
        <w:t>45</w:t>
      </w:r>
      <w:r>
        <w:rPr/>
        <w:t xml:space="preserve">, 72–77. </w:t>
      </w:r>
      <w:hyperlink r:id="rId13">
        <w:r>
          <w:rPr>
            <w:rStyle w:val="InternetLink"/>
          </w:rPr>
          <w:t>http://doi.org/10.1145/504729.504731</w:t>
        </w:r>
      </w:hyperlink>
      <w:r>
        <w:rPr/>
        <w:t xml:space="preserve"> </w:t>
      </w:r>
    </w:p>
    <w:p>
      <w:pPr>
        <w:pStyle w:val="References"/>
        <w:rPr/>
      </w:pPr>
      <w:r>
        <w:rPr/>
        <w:t xml:space="preserve">Checkland, P. (2006). Reply to Eden and Ackermann: Any Future for Problem Structuring Methods? </w:t>
      </w:r>
      <w:r>
        <w:rPr>
          <w:i/>
        </w:rPr>
        <w:t>The Journal of the Operational Research Society</w:t>
      </w:r>
      <w:r>
        <w:rPr/>
        <w:t xml:space="preserve">, </w:t>
      </w:r>
      <w:r>
        <w:rPr>
          <w:i/>
        </w:rPr>
        <w:t>57</w:t>
      </w:r>
      <w:r>
        <w:rPr/>
        <w:t xml:space="preserve">(7), 769–771. </w:t>
      </w:r>
      <w:hyperlink r:id="rId14">
        <w:r>
          <w:rPr>
            <w:rStyle w:val="InternetLink"/>
          </w:rPr>
          <w:t>http://doi.org/10.1057/palgrave.jors.2602111</w:t>
        </w:r>
      </w:hyperlink>
      <w:r>
        <w:rPr/>
        <w:t xml:space="preserve"> </w:t>
      </w:r>
    </w:p>
    <w:p>
      <w:pPr>
        <w:pStyle w:val="References"/>
        <w:rPr/>
      </w:pPr>
      <w:r>
        <w:rPr/>
        <w:t xml:space="preserve">Checkland, P., &amp; Poulter, J. (2010). Soft Systems Methodology. In M. Reynolds &amp; S. Holwell (Eds.), </w:t>
      </w:r>
      <w:r>
        <w:rPr>
          <w:i/>
        </w:rPr>
        <w:t>Systems Approaches to Managing Change: A Practical Guide</w:t>
      </w:r>
      <w:r>
        <w:rPr/>
        <w:t xml:space="preserve">. London: Springer London. Retrieved from </w:t>
      </w:r>
      <w:hyperlink r:id="rId15">
        <w:r>
          <w:rPr>
            <w:rStyle w:val="InternetLink"/>
          </w:rPr>
          <w:t>http://dx.doi.org/10.1007/978-1-84882-809-4_5</w:t>
        </w:r>
      </w:hyperlink>
      <w:r>
        <w:rPr/>
        <w:t xml:space="preserve"> </w:t>
      </w:r>
    </w:p>
    <w:p>
      <w:pPr>
        <w:pStyle w:val="References"/>
        <w:rPr/>
      </w:pPr>
      <w:r>
        <w:rPr/>
        <w:t xml:space="preserve">Churchman, C. W. (1971). </w:t>
      </w:r>
      <w:r>
        <w:rPr>
          <w:i/>
        </w:rPr>
        <w:t>The design of inquiring systems: basic concepts of systems and organization</w:t>
      </w:r>
      <w:r>
        <w:rPr/>
        <w:t>. Basic Books.</w:t>
      </w:r>
    </w:p>
    <w:p>
      <w:pPr>
        <w:pStyle w:val="References"/>
        <w:rPr/>
      </w:pPr>
      <w:r>
        <w:rPr/>
        <w:t xml:space="preserve">Cockburn, A. (2011, January 2). It started in 2001 with the Manifesto. Retrieved from </w:t>
      </w:r>
      <w:r>
        <w:fldChar w:fldCharType="begin"/>
      </w:r>
      <w:r>
        <w:instrText> HYPERLINK "http://10yearsagile.org/it-started-in-2001-with-the-manifesto" \l "more-483"</w:instrText>
      </w:r>
      <w:r>
        <w:fldChar w:fldCharType="separate"/>
      </w:r>
      <w:r>
        <w:rPr>
          <w:rStyle w:val="InternetLink"/>
        </w:rPr>
        <w:t>http://10yearsagile.org/it-started-in-2001-with-the-manifesto#more-483</w:t>
      </w:r>
      <w:r>
        <w:fldChar w:fldCharType="end"/>
      </w:r>
      <w:r>
        <w:rPr/>
        <w:t xml:space="preserve"> </w:t>
      </w:r>
    </w:p>
    <w:p>
      <w:pPr>
        <w:pStyle w:val="References"/>
        <w:rPr/>
      </w:pPr>
      <w:r>
        <w:rPr/>
        <w:t xml:space="preserve">Coplien, J. O. (2004). The culture of patterns. </w:t>
      </w:r>
      <w:r>
        <w:rPr>
          <w:i/>
        </w:rPr>
        <w:t>Comput. Sci. Inf. Syst.</w:t>
      </w:r>
      <w:r>
        <w:rPr/>
        <w:t xml:space="preserve">, </w:t>
      </w:r>
      <w:r>
        <w:rPr>
          <w:i/>
        </w:rPr>
        <w:t>1</w:t>
      </w:r>
      <w:r>
        <w:rPr/>
        <w:t xml:space="preserve">(2), 1–26. Retrieved from </w:t>
      </w:r>
      <w:hyperlink r:id="rId16">
        <w:r>
          <w:rPr>
            <w:rStyle w:val="InternetLink"/>
          </w:rPr>
          <w:t>http://www.comsis.org/archive.php?show=vol0102</w:t>
        </w:r>
      </w:hyperlink>
      <w:r>
        <w:rPr/>
        <w:t xml:space="preserve"> </w:t>
      </w:r>
    </w:p>
    <w:p>
      <w:pPr>
        <w:pStyle w:val="References"/>
        <w:rPr/>
      </w:pPr>
      <w:r>
        <w:rPr/>
        <w:t xml:space="preserve">Crawford, M. B. (2009). </w:t>
      </w:r>
      <w:r>
        <w:rPr>
          <w:i/>
        </w:rPr>
        <w:t>Shop Class as Soulcraft: An Inquiry into the Value of Work</w:t>
      </w:r>
      <w:r>
        <w:rPr/>
        <w:t>. Penguin.</w:t>
      </w:r>
    </w:p>
    <w:p>
      <w:pPr>
        <w:pStyle w:val="References"/>
        <w:rPr/>
      </w:pPr>
      <w:r>
        <w:rPr/>
        <w:t xml:space="preserve">Culmsee, P., &amp; Awati, K. (2013). There Are Problems, and There are “Problems.” In </w:t>
      </w:r>
      <w:r>
        <w:rPr>
          <w:i/>
        </w:rPr>
        <w:t>The Heretic’s Guide to Best Practices: The Reality of Managing Complex Problems in Organisations</w:t>
      </w:r>
      <w:r>
        <w:rPr/>
        <w:t xml:space="preserve"> (pp. 106–122). iUniverse. </w:t>
      </w:r>
    </w:p>
    <w:p>
      <w:pPr>
        <w:pStyle w:val="References"/>
        <w:rPr/>
      </w:pPr>
      <w:r>
        <w:rPr/>
        <w:t xml:space="preserve">Cunningham, W. (1995). Wiki History [C2 Wiki]. Retrieved September 29, 2016, from </w:t>
      </w:r>
      <w:hyperlink r:id="rId17">
        <w:r>
          <w:rPr>
            <w:rStyle w:val="InternetLink"/>
          </w:rPr>
          <w:t>http://c2.com/cgi/wiki?WikiHistory</w:t>
        </w:r>
      </w:hyperlink>
      <w:r>
        <w:rPr/>
        <w:t xml:space="preserve"> </w:t>
      </w:r>
    </w:p>
    <w:p>
      <w:pPr>
        <w:pStyle w:val="References"/>
        <w:rPr/>
      </w:pPr>
      <w:r>
        <w:rPr/>
        <w:t xml:space="preserve">Cunningham, W., &amp; Mehaffy, M. (2013). Wiki as pattern language (p. 32). Presented at the Proceedings of the 20th Conference on Pattern Languages of Programs, The Hillside Group. Retrieved from </w:t>
      </w:r>
      <w:hyperlink r:id="rId18">
        <w:r>
          <w:rPr>
            <w:rStyle w:val="InternetLink"/>
          </w:rPr>
          <w:t>http://dl.acm.org/citation.cfm?id=2725669.2725707</w:t>
        </w:r>
      </w:hyperlink>
      <w:r>
        <w:rPr/>
        <w:t xml:space="preserve"> </w:t>
      </w:r>
    </w:p>
    <w:p>
      <w:pPr>
        <w:pStyle w:val="References"/>
        <w:rPr/>
      </w:pPr>
      <w:r>
        <w:rPr/>
        <w:t xml:space="preserve">Dreyfus, H. L. (1990). </w:t>
      </w:r>
      <w:r>
        <w:rPr>
          <w:i/>
        </w:rPr>
        <w:t>Being-in-the-world: A Commentary on Heidegger’s Being and Time, Division I.</w:t>
      </w:r>
      <w:r>
        <w:rPr/>
        <w:t xml:space="preserve"> Mit Press. </w:t>
      </w:r>
    </w:p>
    <w:p>
      <w:pPr>
        <w:pStyle w:val="References"/>
        <w:rPr/>
      </w:pPr>
      <w:r>
        <w:rPr/>
        <w:t xml:space="preserve">Dreyfus, H. L., &amp; Kelly, S. D. (2011). Lives Worth Living in a Secular Age. In </w:t>
      </w:r>
      <w:r>
        <w:rPr>
          <w:i/>
        </w:rPr>
        <w:t>All things shining: Reading the Western classics to find meaning in a secular age</w:t>
      </w:r>
      <w:r>
        <w:rPr/>
        <w:t xml:space="preserve"> (pp. 190–223). New York: Free Press. </w:t>
      </w:r>
    </w:p>
    <w:p>
      <w:pPr>
        <w:pStyle w:val="References"/>
        <w:rPr/>
      </w:pPr>
      <w:r>
        <w:rPr/>
        <w:t xml:space="preserve">Em, M. (2015, February 8). Pace Layer Thinkers: Stewart Brand and Paul Saffo’s Conversation at The Interval, Recap and Full Audio. Retrieved from </w:t>
      </w:r>
      <w:hyperlink r:id="rId19">
        <w:r>
          <w:rPr>
            <w:rStyle w:val="InternetLink"/>
          </w:rPr>
          <w:t>http://blog.longnow.org/02015/02/08/pace-layers-stewart-brand-paul-saffos-conversations-at-the-interval/</w:t>
        </w:r>
      </w:hyperlink>
      <w:r>
        <w:rPr/>
        <w:t xml:space="preserve"> </w:t>
      </w:r>
    </w:p>
    <w:p>
      <w:pPr>
        <w:pStyle w:val="References"/>
        <w:rPr/>
      </w:pPr>
      <w:r>
        <w:rPr/>
        <w:t xml:space="preserve">Erickson, T. (2000). Lingua Francas for design: sacred places and pattern languages. In </w:t>
      </w:r>
      <w:r>
        <w:rPr>
          <w:i/>
        </w:rPr>
        <w:t>Proceedings of the 3rd Conference on Designing Interactive Systems</w:t>
      </w:r>
      <w:r>
        <w:rPr/>
        <w:t xml:space="preserve"> (pp. 357–368). ACM Press. </w:t>
      </w:r>
      <w:hyperlink r:id="rId20">
        <w:r>
          <w:rPr>
            <w:rStyle w:val="InternetLink"/>
          </w:rPr>
          <w:t>http://doi.org/10.1145/347642.347794</w:t>
        </w:r>
      </w:hyperlink>
      <w:r>
        <w:rPr/>
        <w:t xml:space="preserve"> </w:t>
      </w:r>
    </w:p>
    <w:p>
      <w:pPr>
        <w:pStyle w:val="References"/>
        <w:rPr/>
      </w:pPr>
      <w:r>
        <w:rPr/>
        <w:t xml:space="preserve">Falcon, A. (2012). Aristotle on Causality. In E. N. Zalta (Ed.), </w:t>
      </w:r>
      <w:r>
        <w:rPr>
          <w:i/>
        </w:rPr>
        <w:t>The Stanford Encyclopedia of Philosophy</w:t>
      </w:r>
      <w:r>
        <w:rPr/>
        <w:t xml:space="preserve"> (Winter 2012). Retrieved from </w:t>
      </w:r>
      <w:hyperlink r:id="rId21">
        <w:r>
          <w:rPr>
            <w:rStyle w:val="InternetLink"/>
          </w:rPr>
          <w:t>http://plato.stanford.edu/archives/win2012/entries/aristotle-causality/</w:t>
        </w:r>
      </w:hyperlink>
      <w:r>
        <w:rPr/>
        <w:t xml:space="preserve"> </w:t>
      </w:r>
    </w:p>
    <w:p>
      <w:pPr>
        <w:pStyle w:val="References"/>
        <w:rPr/>
      </w:pPr>
      <w:r>
        <w:rPr/>
        <w:t xml:space="preserve">Finley, K. (2012, 04). Wiki Inventor Sticks a Fork in His Baby | Wired Enterprise | Wired.com. Retrieved from </w:t>
      </w:r>
      <w:hyperlink r:id="rId22">
        <w:r>
          <w:rPr>
            <w:rStyle w:val="InternetLink"/>
          </w:rPr>
          <w:t>http://www.wired.com/wiredenterprise/2012/07/wiki-inventor/</w:t>
        </w:r>
      </w:hyperlink>
      <w:r>
        <w:rPr/>
        <w:t xml:space="preserve"> </w:t>
      </w:r>
    </w:p>
    <w:p>
      <w:pPr>
        <w:pStyle w:val="References"/>
        <w:rPr/>
      </w:pPr>
      <w:r>
        <w:rPr/>
        <w:t xml:space="preserve">Friend, J. (2006). Labels, Methodologies and Strategic Decision Support. </w:t>
      </w:r>
      <w:r>
        <w:rPr>
          <w:i/>
        </w:rPr>
        <w:t>The Journal of the Operational Research Society</w:t>
      </w:r>
      <w:r>
        <w:rPr/>
        <w:t xml:space="preserve">, </w:t>
      </w:r>
      <w:r>
        <w:rPr>
          <w:i/>
        </w:rPr>
        <w:t>57</w:t>
      </w:r>
      <w:r>
        <w:rPr/>
        <w:t xml:space="preserve">(7), 772–775. </w:t>
      </w:r>
      <w:hyperlink r:id="rId23">
        <w:r>
          <w:rPr>
            <w:rStyle w:val="InternetLink"/>
          </w:rPr>
          <w:t>http://doi.org/10.1057/palgrave.jors.2602089</w:t>
        </w:r>
      </w:hyperlink>
      <w:r>
        <w:rPr/>
        <w:t xml:space="preserve"> </w:t>
      </w:r>
    </w:p>
    <w:p>
      <w:pPr>
        <w:pStyle w:val="References"/>
        <w:rPr/>
      </w:pPr>
      <w:r>
        <w:rPr/>
        <w:t xml:space="preserve">Gabriel, R. P. (1996). The Quality Without a Name. In </w:t>
      </w:r>
      <w:r>
        <w:rPr>
          <w:i/>
        </w:rPr>
        <w:t>Patterns of software</w:t>
      </w:r>
      <w:r>
        <w:rPr/>
        <w:t xml:space="preserve"> (pp. 33–44). New York: Oxford University Press. Retrieved from </w:t>
      </w:r>
      <w:hyperlink r:id="rId24">
        <w:r>
          <w:rPr>
            <w:rStyle w:val="InternetLink"/>
          </w:rPr>
          <w:t>http://dreamsongs.net/Files/PatternsOfSoftware.pdf</w:t>
        </w:r>
      </w:hyperlink>
      <w:r>
        <w:rPr/>
        <w:t xml:space="preserve"> </w:t>
      </w:r>
    </w:p>
    <w:p>
      <w:pPr>
        <w:pStyle w:val="References"/>
        <w:rPr/>
      </w:pPr>
      <w:r>
        <w:rPr/>
        <w:t xml:space="preserve">Gibson, J. J. (1979). The Theory of Affordances. In </w:t>
      </w:r>
      <w:r>
        <w:rPr>
          <w:i/>
        </w:rPr>
        <w:t>The Ecological Approach to Visual Perception</w:t>
      </w:r>
      <w:r>
        <w:rPr/>
        <w:t xml:space="preserve"> (pp. 127–143). Boston: Houghton Mifflin. </w:t>
      </w:r>
    </w:p>
    <w:p>
      <w:pPr>
        <w:pStyle w:val="References"/>
        <w:rPr/>
      </w:pPr>
      <w:r>
        <w:rPr/>
        <w:t xml:space="preserve">Griffin, A., &amp; Hauser, J. R. (1993). The voice of the customer. </w:t>
      </w:r>
      <w:r>
        <w:rPr>
          <w:i/>
        </w:rPr>
        <w:t>Marketing Science</w:t>
      </w:r>
      <w:r>
        <w:rPr/>
        <w:t xml:space="preserve">, </w:t>
      </w:r>
      <w:r>
        <w:rPr>
          <w:i/>
        </w:rPr>
        <w:t>12</w:t>
      </w:r>
      <w:r>
        <w:rPr/>
        <w:t xml:space="preserve">(1), 1–27. Retrieved from </w:t>
      </w:r>
      <w:hyperlink r:id="rId25">
        <w:r>
          <w:rPr>
            <w:rStyle w:val="InternetLink"/>
          </w:rPr>
          <w:t>http://dx.doi.org/10.1287/mksc.12.1.1</w:t>
        </w:r>
      </w:hyperlink>
      <w:r>
        <w:rPr/>
        <w:t xml:space="preserve"> </w:t>
      </w:r>
    </w:p>
    <w:p>
      <w:pPr>
        <w:pStyle w:val="References"/>
        <w:rPr/>
      </w:pPr>
      <w:r>
        <w:rPr/>
        <w:t xml:space="preserve">Haeckel, S. H. (1999). </w:t>
      </w:r>
      <w:r>
        <w:rPr>
          <w:i/>
        </w:rPr>
        <w:t>Adaptive Enterprise: Creating and Leading Sense-and-Respond Organizations</w:t>
      </w:r>
      <w:r>
        <w:rPr/>
        <w:t>. Boston, MA: Harvard Business School Press.</w:t>
      </w:r>
    </w:p>
    <w:p>
      <w:pPr>
        <w:pStyle w:val="References"/>
        <w:rPr/>
      </w:pPr>
      <w:r>
        <w:rPr/>
        <w:t xml:space="preserve">Haumer, P. (2005). IBM Rational Method Composer: Part 1: Key concepts. Retrieved February 2, 2011, from </w:t>
      </w:r>
      <w:hyperlink r:id="rId26">
        <w:r>
          <w:rPr>
            <w:rStyle w:val="InternetLink"/>
          </w:rPr>
          <w:t>http://www.ibm.com/developerworks/rational/library/dec05/haumer/</w:t>
        </w:r>
      </w:hyperlink>
      <w:r>
        <w:rPr/>
        <w:t xml:space="preserve"> </w:t>
      </w:r>
    </w:p>
    <w:p>
      <w:pPr>
        <w:pStyle w:val="References"/>
        <w:rPr/>
      </w:pPr>
      <w:r>
        <w:rPr/>
        <w:t xml:space="preserve">Haumer, P. (2007). Eclipse Process Framework Composer. The Eclipse Foundation. Retrieved from </w:t>
      </w:r>
      <w:hyperlink r:id="rId27">
        <w:r>
          <w:rPr>
            <w:rStyle w:val="InternetLink"/>
          </w:rPr>
          <w:t>https://eclipse.org/epf/general/EPFComposerOverviewPart1.pdf</w:t>
        </w:r>
      </w:hyperlink>
      <w:r>
        <w:rPr/>
        <w:t xml:space="preserve"> </w:t>
      </w:r>
    </w:p>
    <w:p>
      <w:pPr>
        <w:pStyle w:val="References"/>
        <w:rPr/>
      </w:pPr>
      <w:r>
        <w:rPr/>
        <w:t xml:space="preserve">Hirsch, J. (2012, September 27). End of the line for Hunts Point clinic. </w:t>
      </w:r>
      <w:r>
        <w:rPr>
          <w:i/>
        </w:rPr>
        <w:t>Hunts Point Express</w:t>
      </w:r>
      <w:r>
        <w:rPr/>
        <w:t xml:space="preserve">. Retrieved from </w:t>
      </w:r>
      <w:hyperlink r:id="rId28">
        <w:r>
          <w:rPr>
            <w:rStyle w:val="InternetLink"/>
          </w:rPr>
          <w:t>http://brie.hunter.cuny.edu/hpe/2012/09/27/hunts-point-clinic-to-close-in-disgrace/</w:t>
        </w:r>
      </w:hyperlink>
      <w:r>
        <w:rPr/>
        <w:t xml:space="preserve"> </w:t>
      </w:r>
    </w:p>
    <w:p>
      <w:pPr>
        <w:pStyle w:val="References"/>
        <w:rPr/>
      </w:pPr>
      <w:r>
        <w:rPr/>
        <w:t xml:space="preserve">Hirschman, A. O. (1970). </w:t>
      </w:r>
      <w:r>
        <w:rPr>
          <w:i/>
        </w:rPr>
        <w:t>Exit, voice, and loyalty</w:t>
      </w:r>
      <w:r>
        <w:rPr/>
        <w:t>. Cambridge, MA: Harvard University Press.</w:t>
      </w:r>
    </w:p>
    <w:p>
      <w:pPr>
        <w:pStyle w:val="References"/>
        <w:rPr/>
      </w:pPr>
      <w:r>
        <w:rPr/>
        <w:t xml:space="preserve">Holling, C. S. (2001). Understanding the Complexity of Economic, Ecological, and Social Systems. </w:t>
      </w:r>
      <w:r>
        <w:rPr>
          <w:i/>
        </w:rPr>
        <w:t>Ecosystems</w:t>
      </w:r>
      <w:r>
        <w:rPr/>
        <w:t xml:space="preserve">, </w:t>
      </w:r>
      <w:r>
        <w:rPr>
          <w:i/>
        </w:rPr>
        <w:t>4</w:t>
      </w:r>
      <w:r>
        <w:rPr/>
        <w:t xml:space="preserve">(5), 390–405. </w:t>
      </w:r>
      <w:hyperlink r:id="rId29">
        <w:r>
          <w:rPr>
            <w:rStyle w:val="InternetLink"/>
          </w:rPr>
          <w:t>http://doi.org/10.1007/s10021-001-0101-5</w:t>
        </w:r>
      </w:hyperlink>
      <w:r>
        <w:rPr/>
        <w:t xml:space="preserve"> </w:t>
      </w:r>
    </w:p>
    <w:p>
      <w:pPr>
        <w:pStyle w:val="References"/>
        <w:rPr/>
      </w:pPr>
      <w:r>
        <w:rPr/>
        <w:t xml:space="preserve">Ing, D. (2015). From Environmental Structure to Service Systems Thinking: Wholeness with Centers Described with a Generative Pattern Language. In </w:t>
      </w:r>
      <w:r>
        <w:rPr>
          <w:i/>
        </w:rPr>
        <w:t>Proceedings of the 2014 Conference on Pattern Languages of Programs.</w:t>
      </w:r>
      <w:r>
        <w:rPr/>
        <w:t xml:space="preserve"> Allerton Park, IL: The Hillside Group. Retrieved from </w:t>
      </w:r>
      <w:hyperlink r:id="rId30">
        <w:r>
          <w:rPr>
            <w:rStyle w:val="InternetLink"/>
          </w:rPr>
          <w:t>http://coevolving.com/commons/201501-from-environmental-structure-to-service-systems-thinking</w:t>
        </w:r>
      </w:hyperlink>
      <w:r>
        <w:rPr/>
        <w:t xml:space="preserve"> </w:t>
      </w:r>
    </w:p>
    <w:p>
      <w:pPr>
        <w:pStyle w:val="References"/>
        <w:rPr/>
      </w:pPr>
      <w:r>
        <w:rPr/>
        <w:t xml:space="preserve">Ingold, T. (2000a). Culture, perception and cognition. In </w:t>
      </w:r>
      <w:r>
        <w:rPr>
          <w:i/>
        </w:rPr>
        <w:t>The Perception of the Environment: Essays on Livelihood, Dwelling and Skill</w:t>
      </w:r>
      <w:r>
        <w:rPr/>
        <w:t xml:space="preserve"> (pp. 157–171). Routledge. </w:t>
      </w:r>
    </w:p>
    <w:p>
      <w:pPr>
        <w:pStyle w:val="References"/>
        <w:rPr/>
      </w:pPr>
      <w:r>
        <w:rPr/>
        <w:t xml:space="preserve">Ingold, T. (2000b). The temporality of the landscape. In </w:t>
      </w:r>
      <w:r>
        <w:rPr>
          <w:i/>
        </w:rPr>
        <w:t>The Perception of the Environment: Essays on Livelihood, Dwelling and Skill</w:t>
      </w:r>
      <w:r>
        <w:rPr/>
        <w:t xml:space="preserve"> (pp. 189–208). Routledge. </w:t>
      </w:r>
    </w:p>
    <w:p>
      <w:pPr>
        <w:pStyle w:val="References"/>
        <w:rPr/>
      </w:pPr>
      <w:r>
        <w:rPr/>
        <w:t xml:space="preserve">Ingold, T. (2000c). To journey along a way of life: Maps, wayfinding and navigation. In </w:t>
      </w:r>
      <w:r>
        <w:rPr>
          <w:i/>
        </w:rPr>
        <w:t>The Perception of the Environment: Essays on Livelihood, Dwelling and Skill</w:t>
      </w:r>
      <w:r>
        <w:rPr/>
        <w:t xml:space="preserve"> (pp. 219–242). Routledge. </w:t>
      </w:r>
    </w:p>
    <w:p>
      <w:pPr>
        <w:pStyle w:val="References"/>
        <w:rPr/>
      </w:pPr>
      <w:r>
        <w:rPr/>
        <w:t xml:space="preserve">Ingold, T. (2006). Up, across and along. </w:t>
      </w:r>
      <w:r>
        <w:rPr>
          <w:i/>
        </w:rPr>
        <w:t>Place and Location: Studies in Environmental Aesthetics and Semiotics</w:t>
      </w:r>
      <w:r>
        <w:rPr/>
        <w:t xml:space="preserve">, </w:t>
      </w:r>
      <w:r>
        <w:rPr>
          <w:i/>
        </w:rPr>
        <w:t>5</w:t>
      </w:r>
      <w:r>
        <w:rPr/>
        <w:t xml:space="preserve">, 21–36. Retrieved from </w:t>
      </w:r>
      <w:hyperlink r:id="rId31">
        <w:r>
          <w:rPr>
            <w:rStyle w:val="InternetLink"/>
          </w:rPr>
          <w:t>http://www.eki.ee/km/place/koht_5.htm</w:t>
        </w:r>
      </w:hyperlink>
      <w:r>
        <w:rPr/>
        <w:t xml:space="preserve"> </w:t>
      </w:r>
    </w:p>
    <w:p>
      <w:pPr>
        <w:pStyle w:val="References"/>
        <w:rPr/>
      </w:pPr>
      <w:r>
        <w:rPr/>
        <w:t xml:space="preserve">Ingold, T. (2007a). Traces, threads and surfaces. In </w:t>
      </w:r>
      <w:r>
        <w:rPr>
          <w:i/>
        </w:rPr>
        <w:t>Lines: A Brief History</w:t>
      </w:r>
      <w:r>
        <w:rPr/>
        <w:t xml:space="preserve"> (pp. 39–71). Milton Park, UK: Routledge.</w:t>
      </w:r>
    </w:p>
    <w:p>
      <w:pPr>
        <w:pStyle w:val="References"/>
        <w:rPr/>
      </w:pPr>
      <w:r>
        <w:rPr/>
        <w:t xml:space="preserve">Ingold, T. (2007b). Up, across and along. In </w:t>
      </w:r>
      <w:r>
        <w:rPr>
          <w:i/>
        </w:rPr>
        <w:t>Lines: A Brief History</w:t>
      </w:r>
      <w:r>
        <w:rPr/>
        <w:t xml:space="preserve"> (pp. 72–103). Milton Park, UK: Routledge.</w:t>
      </w:r>
    </w:p>
    <w:p>
      <w:pPr>
        <w:pStyle w:val="References"/>
        <w:rPr/>
      </w:pPr>
      <w:r>
        <w:rPr/>
        <w:t xml:space="preserve">Ingold, T. (2011a). Anthropology is not ethnography. In </w:t>
      </w:r>
      <w:r>
        <w:rPr>
          <w:i/>
        </w:rPr>
        <w:t>Being Alive: Essays on Movement, Knowledge and Description</w:t>
      </w:r>
      <w:r>
        <w:rPr/>
        <w:t xml:space="preserve"> (pp. 229–243). Routledge.</w:t>
      </w:r>
    </w:p>
    <w:p>
      <w:pPr>
        <w:pStyle w:val="References"/>
        <w:rPr/>
      </w:pPr>
      <w:r>
        <w:rPr/>
        <w:t xml:space="preserve">Ingold, T. (2011b). Culture on the Ground: The World Perceived through the Feet. In </w:t>
      </w:r>
      <w:r>
        <w:rPr>
          <w:i/>
        </w:rPr>
        <w:t>Being Alive: Essays on Movement, Knowledge and Description</w:t>
      </w:r>
      <w:r>
        <w:rPr/>
        <w:t xml:space="preserve"> (pp. 33–50). Routledge.</w:t>
      </w:r>
    </w:p>
    <w:p>
      <w:pPr>
        <w:pStyle w:val="References"/>
        <w:rPr/>
      </w:pPr>
      <w:r>
        <w:rPr/>
        <w:t xml:space="preserve">Ingold, T. (2011c). Point, line, counterpoint: From environment to fluid space. In </w:t>
      </w:r>
      <w:r>
        <w:rPr>
          <w:i/>
        </w:rPr>
        <w:t>Being Alive: Essays on Movement, Knowledge and Description</w:t>
      </w:r>
      <w:r>
        <w:rPr/>
        <w:t xml:space="preserve"> (pp. 76–88). Routledge.</w:t>
      </w:r>
    </w:p>
    <w:p>
      <w:pPr>
        <w:pStyle w:val="References"/>
        <w:rPr/>
      </w:pPr>
      <w:r>
        <w:rPr/>
        <w:t xml:space="preserve">Ingold, T. (2011d). Rethinking the animate, reanimating thought. In </w:t>
      </w:r>
      <w:r>
        <w:rPr>
          <w:i/>
        </w:rPr>
        <w:t>Being Alive: Essays on Movement, Knowledge and Description</w:t>
      </w:r>
      <w:r>
        <w:rPr/>
        <w:t xml:space="preserve"> (pp. 67–75). Routledge.</w:t>
      </w:r>
    </w:p>
    <w:p>
      <w:pPr>
        <w:pStyle w:val="References"/>
        <w:rPr/>
      </w:pPr>
      <w:r>
        <w:rPr/>
        <w:t xml:space="preserve">Koenig, A. (1998). Patterns and antipatterns. In L. Rising (Ed.), </w:t>
      </w:r>
      <w:r>
        <w:rPr>
          <w:i/>
        </w:rPr>
        <w:t>The patterns handbook: techniques, strategies, and applications</w:t>
      </w:r>
      <w:r>
        <w:rPr/>
        <w:t xml:space="preserve"> (pp. 383–389). Cambridge University Press.</w:t>
      </w:r>
    </w:p>
    <w:p>
      <w:pPr>
        <w:pStyle w:val="References"/>
        <w:rPr/>
      </w:pPr>
      <w:r>
        <w:rPr/>
        <w:t xml:space="preserve">Kunz, W., &amp; Rittel, H. W. (1970). </w:t>
      </w:r>
      <w:r>
        <w:rPr>
          <w:i/>
        </w:rPr>
        <w:t>Issues as elements of information systems</w:t>
      </w:r>
      <w:r>
        <w:rPr/>
        <w:t xml:space="preserve"> (Vol. 131). Institute of Urban and Regional Development, University of California, Berkeley.</w:t>
      </w:r>
    </w:p>
    <w:p>
      <w:pPr>
        <w:pStyle w:val="References"/>
        <w:rPr/>
      </w:pPr>
      <w:r>
        <w:rPr/>
        <w:t xml:space="preserve">Leith, H. (1970, November 8). ... meanwhile, at Hunts Point. </w:t>
      </w:r>
      <w:r>
        <w:rPr>
          <w:i/>
        </w:rPr>
        <w:t>Eugene Register-Guard</w:t>
      </w:r>
      <w:r>
        <w:rPr/>
        <w:t xml:space="preserve">, p. 6A. Retrieved from </w:t>
      </w:r>
      <w:hyperlink r:id="rId32">
        <w:r>
          <w:rPr>
            <w:rStyle w:val="InternetLink"/>
          </w:rPr>
          <w:t>https://news.google.com/newspapers?nid=1310&amp;dat=19701108&amp;id=I-dVAAAAIBAJ&amp;sjid=IeEDAAAAIBAJ&amp;pg=3517,1678966</w:t>
        </w:r>
      </w:hyperlink>
      <w:r>
        <w:rPr/>
        <w:t xml:space="preserve"> </w:t>
      </w:r>
    </w:p>
    <w:p>
      <w:pPr>
        <w:pStyle w:val="References"/>
        <w:rPr/>
      </w:pPr>
      <w:r>
        <w:rPr/>
        <w:t xml:space="preserve">Lerup, L. (1977). </w:t>
      </w:r>
      <w:r>
        <w:rPr>
          <w:i/>
        </w:rPr>
        <w:t>Building the unfinished: architecture and human action</w:t>
      </w:r>
      <w:r>
        <w:rPr/>
        <w:t xml:space="preserve">. Beverly Hills: Sage Publications. </w:t>
      </w:r>
    </w:p>
    <w:p>
      <w:pPr>
        <w:pStyle w:val="References"/>
        <w:rPr/>
      </w:pPr>
      <w:r>
        <w:rPr/>
        <w:t xml:space="preserve">Maglio, P. P., &amp; Spohrer, J. (2008). Fundamentals of service science. </w:t>
      </w:r>
      <w:r>
        <w:rPr>
          <w:i/>
        </w:rPr>
        <w:t>Journal of the Academy of Marketing Science</w:t>
      </w:r>
      <w:r>
        <w:rPr/>
        <w:t xml:space="preserve">, </w:t>
      </w:r>
      <w:r>
        <w:rPr>
          <w:i/>
        </w:rPr>
        <w:t>36</w:t>
      </w:r>
      <w:r>
        <w:rPr/>
        <w:t xml:space="preserve">(1), 18–20. </w:t>
      </w:r>
      <w:hyperlink r:id="rId33">
        <w:r>
          <w:rPr>
            <w:rStyle w:val="InternetLink"/>
          </w:rPr>
          <w:t>http://doi.org/10.1007/s11747-007-0058-9</w:t>
        </w:r>
      </w:hyperlink>
      <w:r>
        <w:rPr/>
        <w:t xml:space="preserve"> </w:t>
      </w:r>
    </w:p>
    <w:p>
      <w:pPr>
        <w:pStyle w:val="References"/>
        <w:rPr/>
      </w:pPr>
      <w:r>
        <w:rPr/>
        <w:t xml:space="preserve">Maglio, P. P., Vargo, S. L., Caswell, N., &amp; Spohrer, J. (2009). The service system is the basic abstraction of service science. </w:t>
      </w:r>
      <w:r>
        <w:rPr>
          <w:i/>
        </w:rPr>
        <w:t>Information Systems and E-Business Management</w:t>
      </w:r>
      <w:r>
        <w:rPr/>
        <w:t xml:space="preserve">, </w:t>
      </w:r>
      <w:r>
        <w:rPr>
          <w:i/>
        </w:rPr>
        <w:t>7</w:t>
      </w:r>
      <w:r>
        <w:rPr/>
        <w:t xml:space="preserve">(4), 395–406. </w:t>
      </w:r>
      <w:hyperlink r:id="rId34">
        <w:r>
          <w:rPr>
            <w:rStyle w:val="InternetLink"/>
          </w:rPr>
          <w:t>http://doi.org/10.1007/s10257-008-0105-1</w:t>
        </w:r>
      </w:hyperlink>
      <w:r>
        <w:rPr/>
        <w:t xml:space="preserve"> </w:t>
      </w:r>
    </w:p>
    <w:p>
      <w:pPr>
        <w:pStyle w:val="References"/>
        <w:rPr/>
      </w:pPr>
      <w:r>
        <w:rPr/>
        <w:t xml:space="preserve">Mayr, E. (1988a). Cause and Effect in Biology. In </w:t>
      </w:r>
      <w:r>
        <w:rPr>
          <w:i/>
        </w:rPr>
        <w:t>Toward a New Philosophy of Biology: Observations of an Evolutionist</w:t>
      </w:r>
      <w:r>
        <w:rPr/>
        <w:t xml:space="preserve"> (pp. 24–37). Harvard University Press. </w:t>
      </w:r>
    </w:p>
    <w:p>
      <w:pPr>
        <w:pStyle w:val="References"/>
        <w:rPr/>
      </w:pPr>
      <w:r>
        <w:rPr/>
        <w:t xml:space="preserve">Mayr, E. (1988b). The Multiple Meanings of Teleological. In </w:t>
      </w:r>
      <w:r>
        <w:rPr>
          <w:i/>
        </w:rPr>
        <w:t>Toward a New Philosophy of Biology: Observations of an Evolutionist</w:t>
      </w:r>
      <w:r>
        <w:rPr/>
        <w:t xml:space="preserve"> (pp. 38–66). Harvard University Press. </w:t>
      </w:r>
    </w:p>
    <w:p>
      <w:pPr>
        <w:pStyle w:val="References"/>
        <w:rPr/>
      </w:pPr>
      <w:r>
        <w:rPr/>
        <w:t xml:space="preserve">Mehaffy, M. (2008). Generative methods in urban design: a progress assessment. </w:t>
      </w:r>
      <w:r>
        <w:rPr>
          <w:i/>
        </w:rPr>
        <w:t>Journal of Urbanism: International Research on Placemaking and Urban Sustainability</w:t>
      </w:r>
      <w:r>
        <w:rPr/>
        <w:t xml:space="preserve">, </w:t>
      </w:r>
      <w:r>
        <w:rPr>
          <w:i/>
        </w:rPr>
        <w:t>1</w:t>
      </w:r>
      <w:r>
        <w:rPr/>
        <w:t xml:space="preserve">(1), 57–75. </w:t>
      </w:r>
      <w:hyperlink r:id="rId35">
        <w:r>
          <w:rPr>
            <w:rStyle w:val="InternetLink"/>
          </w:rPr>
          <w:t>http://doi.org/10.1080/17549170801903678</w:t>
        </w:r>
      </w:hyperlink>
      <w:r>
        <w:rPr/>
        <w:t xml:space="preserve"> </w:t>
      </w:r>
    </w:p>
    <w:p>
      <w:pPr>
        <w:pStyle w:val="References"/>
        <w:rPr/>
      </w:pPr>
      <w:r>
        <w:rPr/>
        <w:t xml:space="preserve">Mehaffy, M. (2010). Quality of Life by Design: The Science of a Structuralist Revolution. </w:t>
      </w:r>
      <w:r>
        <w:rPr>
          <w:i/>
        </w:rPr>
        <w:t>Athens Dialogues</w:t>
      </w:r>
      <w:r>
        <w:rPr/>
        <w:t xml:space="preserve">. Retrieved from </w:t>
      </w:r>
      <w:hyperlink r:id="rId36">
        <w:r>
          <w:rPr>
            <w:rStyle w:val="InternetLink"/>
          </w:rPr>
          <w:t>http://athensdialogues.chs.harvard.edu/cgi-bin/WebObjects/athensdialogues.woa/wa/dist?dis=47</w:t>
        </w:r>
      </w:hyperlink>
      <w:r>
        <w:rPr/>
        <w:t xml:space="preserve"> </w:t>
      </w:r>
    </w:p>
    <w:p>
      <w:pPr>
        <w:pStyle w:val="References"/>
        <w:rPr/>
      </w:pPr>
      <w:r>
        <w:rPr/>
        <w:t xml:space="preserve">Motohashi, M., Hanyuda, E., &amp; Nakano, H. (2013). From pattern languages to a project language: a shift proposal from existing pattern community (p. 33). Presented at the Proceedings of the 20th Conference on Pattern Languages of Programs, The Hillside Group. Retrieved from </w:t>
      </w:r>
      <w:hyperlink r:id="rId37">
        <w:r>
          <w:rPr>
            <w:rStyle w:val="InternetLink"/>
          </w:rPr>
          <w:t>http://dl.acm.org/citation.cfm?id=2725669.2725708</w:t>
        </w:r>
      </w:hyperlink>
      <w:r>
        <w:rPr/>
        <w:t xml:space="preserve"> </w:t>
      </w:r>
    </w:p>
    <w:p>
      <w:pPr>
        <w:pStyle w:val="References"/>
        <w:rPr/>
      </w:pPr>
      <w:r>
        <w:rPr/>
        <w:t xml:space="preserve">Ng, I. C. L., &amp; Smith, L. A. (2012). An Integrative Framework of Value. In </w:t>
      </w:r>
      <w:r>
        <w:rPr>
          <w:i/>
        </w:rPr>
        <w:t>Toward a Better Understanding of the Role of Value in Markets and Marketing</w:t>
      </w:r>
      <w:r>
        <w:rPr/>
        <w:t xml:space="preserve"> (Vol. 9, pp. 207–243). Emerald Group Publishing Limited. Retrieved from </w:t>
      </w:r>
      <w:hyperlink r:id="rId38">
        <w:r>
          <w:rPr>
            <w:rStyle w:val="InternetLink"/>
          </w:rPr>
          <w:t>http://dx.doi.org/10.1108/S1548-6435(2012)0000009011</w:t>
        </w:r>
      </w:hyperlink>
      <w:r>
        <w:rPr/>
        <w:t xml:space="preserve"> </w:t>
      </w:r>
    </w:p>
    <w:p>
      <w:pPr>
        <w:pStyle w:val="References"/>
        <w:rPr/>
      </w:pPr>
      <w:r>
        <w:rPr/>
        <w:t xml:space="preserve">Normann, R. (2001). </w:t>
      </w:r>
      <w:r>
        <w:rPr>
          <w:i/>
        </w:rPr>
        <w:t>Reframing business</w:t>
      </w:r>
      <w:r>
        <w:rPr/>
        <w:t>. New York: Wiley.</w:t>
      </w:r>
    </w:p>
    <w:p>
      <w:pPr>
        <w:pStyle w:val="References"/>
        <w:rPr/>
      </w:pPr>
      <w:r>
        <w:rPr/>
        <w:t xml:space="preserve">Normann, R., &amp; Ramirez, R. (1994). </w:t>
      </w:r>
      <w:r>
        <w:rPr>
          <w:i/>
        </w:rPr>
        <w:t>From value chain to value constellation: designing interactive strategy</w:t>
      </w:r>
      <w:r>
        <w:rPr/>
        <w:t>. Chichester, England: Wiley.</w:t>
      </w:r>
    </w:p>
    <w:p>
      <w:pPr>
        <w:pStyle w:val="References"/>
        <w:rPr/>
      </w:pPr>
      <w:r>
        <w:rPr/>
        <w:t xml:space="preserve">North, D. (2006, March). Introducing BDD. </w:t>
      </w:r>
      <w:r>
        <w:rPr>
          <w:i/>
        </w:rPr>
        <w:t>Better Software</w:t>
      </w:r>
      <w:r>
        <w:rPr/>
        <w:t xml:space="preserve">. Retrieved from </w:t>
      </w:r>
      <w:hyperlink r:id="rId39">
        <w:r>
          <w:rPr>
            <w:rStyle w:val="InternetLink"/>
          </w:rPr>
          <w:t>https://dannorth.net/introducing-bdd/</w:t>
        </w:r>
      </w:hyperlink>
      <w:r>
        <w:rPr/>
        <w:t xml:space="preserve"> </w:t>
      </w:r>
    </w:p>
    <w:p>
      <w:pPr>
        <w:pStyle w:val="References"/>
        <w:rPr/>
      </w:pPr>
      <w:r>
        <w:rPr/>
        <w:t xml:space="preserve">Opie, F. D. (2015). </w:t>
      </w:r>
      <w:r>
        <w:rPr>
          <w:i/>
        </w:rPr>
        <w:t>Upsetting the Apple Cart: Black-Latino Coalitions in New York City from Protest to Public Office</w:t>
      </w:r>
      <w:r>
        <w:rPr/>
        <w:t>. New York: Columbia University Press.</w:t>
      </w:r>
    </w:p>
    <w:p>
      <w:pPr>
        <w:pStyle w:val="References"/>
        <w:rPr/>
      </w:pPr>
      <w:r>
        <w:rPr/>
        <w:t xml:space="preserve">Peña, W. M., &amp; Focke, J. W. (1969). </w:t>
      </w:r>
      <w:r>
        <w:rPr>
          <w:i/>
        </w:rPr>
        <w:t>Problem Seeking: New directions in architectural programming</w:t>
      </w:r>
      <w:r>
        <w:rPr/>
        <w:t xml:space="preserve"> (1st ed.). Houston, TX: Caudill, Rowlett and Scott. </w:t>
      </w:r>
    </w:p>
    <w:p>
      <w:pPr>
        <w:pStyle w:val="References"/>
        <w:rPr/>
      </w:pPr>
      <w:r>
        <w:rPr/>
        <w:t xml:space="preserve">Pirsig, R. M. (1974). </w:t>
      </w:r>
      <w:r>
        <w:rPr>
          <w:i/>
        </w:rPr>
        <w:t>Zen and the art of motorcycle maintenance</w:t>
      </w:r>
      <w:r>
        <w:rPr/>
        <w:t>. Bantam.</w:t>
      </w:r>
    </w:p>
    <w:p>
      <w:pPr>
        <w:pStyle w:val="References"/>
        <w:rPr/>
      </w:pPr>
      <w:r>
        <w:rPr/>
        <w:t xml:space="preserve">Quillien, J. (2008). On Belonging and Phenomenology. In </w:t>
      </w:r>
      <w:r>
        <w:rPr>
          <w:i/>
        </w:rPr>
        <w:t>Delight’s Muse on Christopher Alexander’s the Nature of Order: A Summary and Personal Interpretation</w:t>
      </w:r>
      <w:r>
        <w:rPr/>
        <w:t xml:space="preserve"> (p. 85). Ames, Iowa: Culicidae Architectural Press. </w:t>
      </w:r>
    </w:p>
    <w:p>
      <w:pPr>
        <w:pStyle w:val="References"/>
        <w:rPr/>
      </w:pPr>
      <w:r>
        <w:rPr/>
        <w:t xml:space="preserve">Ramírez, R. (1999). Value co-production: intellectual origins and implications for practice and research. </w:t>
      </w:r>
      <w:r>
        <w:rPr>
          <w:i/>
        </w:rPr>
        <w:t>Strategic Management Journal</w:t>
      </w:r>
      <w:r>
        <w:rPr/>
        <w:t xml:space="preserve">, </w:t>
      </w:r>
      <w:r>
        <w:rPr>
          <w:i/>
        </w:rPr>
        <w:t>20</w:t>
      </w:r>
      <w:r>
        <w:rPr/>
        <w:t xml:space="preserve">(1), 49–65. </w:t>
      </w:r>
      <w:hyperlink r:id="rId40">
        <w:r>
          <w:rPr>
            <w:rStyle w:val="InternetLink"/>
          </w:rPr>
          <w:t>http://doi.org/10.1002/(SICI)1097-0266(199901)20:1&lt;49::AID-SMJ20&gt;3.0.CO;2-2</w:t>
        </w:r>
      </w:hyperlink>
      <w:r>
        <w:rPr/>
        <w:t xml:space="preserve"> </w:t>
      </w:r>
    </w:p>
    <w:p>
      <w:pPr>
        <w:pStyle w:val="References"/>
        <w:rPr/>
      </w:pPr>
      <w:r>
        <w:rPr/>
        <w:t xml:space="preserve">Rittel, H. W. (1980). </w:t>
      </w:r>
      <w:r>
        <w:rPr>
          <w:i/>
        </w:rPr>
        <w:t>APIS, a Concept for an Argumentative Planning Information System</w:t>
      </w:r>
      <w:r>
        <w:rPr/>
        <w:t xml:space="preserve"> (Vol. 324). Institute of Urban &amp; Regional Development, University of California, Berkeley.</w:t>
      </w:r>
    </w:p>
    <w:p>
      <w:pPr>
        <w:pStyle w:val="References"/>
        <w:rPr/>
      </w:pPr>
      <w:r>
        <w:rPr/>
        <w:t xml:space="preserve">Rittel, H. W., &amp; Webber, M. M. (1973). Dilemmas in a general theory of planning. </w:t>
      </w:r>
      <w:r>
        <w:rPr>
          <w:i/>
        </w:rPr>
        <w:t>Policy Sciences</w:t>
      </w:r>
      <w:r>
        <w:rPr/>
        <w:t xml:space="preserve">, </w:t>
      </w:r>
      <w:r>
        <w:rPr>
          <w:i/>
        </w:rPr>
        <w:t>4</w:t>
      </w:r>
      <w:r>
        <w:rPr/>
        <w:t xml:space="preserve">(2), 155–169. </w:t>
      </w:r>
      <w:hyperlink r:id="rId41">
        <w:r>
          <w:rPr>
            <w:rStyle w:val="InternetLink"/>
          </w:rPr>
          <w:t>http://doi.org/10.1007/BF01405730</w:t>
        </w:r>
      </w:hyperlink>
      <w:r>
        <w:rPr/>
        <w:t xml:space="preserve"> </w:t>
      </w:r>
    </w:p>
    <w:p>
      <w:pPr>
        <w:pStyle w:val="References"/>
        <w:rPr/>
      </w:pPr>
      <w:r>
        <w:rPr/>
        <w:t xml:space="preserve">Rosenhead, J. (2006). Past, Present and Future of Problem Structuring Methods. </w:t>
      </w:r>
      <w:r>
        <w:rPr>
          <w:i/>
        </w:rPr>
        <w:t>The Journal of the Operational Research Society</w:t>
      </w:r>
      <w:r>
        <w:rPr/>
        <w:t xml:space="preserve">, </w:t>
      </w:r>
      <w:r>
        <w:rPr>
          <w:i/>
        </w:rPr>
        <w:t>57</w:t>
      </w:r>
      <w:r>
        <w:rPr/>
        <w:t xml:space="preserve">(7), 759–765. </w:t>
      </w:r>
      <w:hyperlink r:id="rId42">
        <w:r>
          <w:rPr>
            <w:rStyle w:val="InternetLink"/>
          </w:rPr>
          <w:t>http://doi.org/10.1057/palgrave.jors.2602206</w:t>
        </w:r>
      </w:hyperlink>
      <w:r>
        <w:rPr/>
        <w:t xml:space="preserve"> </w:t>
      </w:r>
    </w:p>
    <w:p>
      <w:pPr>
        <w:pStyle w:val="References"/>
        <w:rPr/>
      </w:pPr>
      <w:r>
        <w:rPr/>
        <w:t xml:space="preserve">Royce, W. W. (1970). Managing the development of large software systems: concepts and techniques. In </w:t>
      </w:r>
      <w:r>
        <w:rPr>
          <w:i/>
        </w:rPr>
        <w:t>Proceedings, IEEE WESCON</w:t>
      </w:r>
      <w:r>
        <w:rPr/>
        <w:t xml:space="preserve"> (pp. 328–338). IEEE. Retrieved from </w:t>
      </w:r>
      <w:hyperlink r:id="rId43">
        <w:r>
          <w:rPr>
            <w:rStyle w:val="InternetLink"/>
          </w:rPr>
          <w:t>http://dl.acm.org/citation.cfm?id=41801</w:t>
        </w:r>
      </w:hyperlink>
      <w:r>
        <w:rPr/>
        <w:t xml:space="preserve"> </w:t>
      </w:r>
    </w:p>
    <w:p>
      <w:pPr>
        <w:pStyle w:val="References"/>
        <w:rPr/>
      </w:pPr>
      <w:r>
        <w:rPr/>
        <w:t xml:space="preserve">Sánchez, J. R. (1994). Puerto Ricans and the Door of Participation in US Politics. In N. Kanellos (Ed.), </w:t>
      </w:r>
      <w:r>
        <w:rPr>
          <w:i/>
        </w:rPr>
        <w:t>Handbook of Hispanic Cultures in the United States: Sociology</w:t>
      </w:r>
      <w:r>
        <w:rPr/>
        <w:t xml:space="preserve"> (pp. 110–132). Arte Publico Press. </w:t>
      </w:r>
    </w:p>
    <w:p>
      <w:pPr>
        <w:pStyle w:val="References"/>
        <w:rPr/>
      </w:pPr>
      <w:r>
        <w:rPr/>
        <w:t xml:space="preserve">Schermer, B. (2015). The Program as Problem: Origins and Impact of CRS’s Problem Seeking. In L. Sheppard &amp; D. Ruy (Eds.), </w:t>
      </w:r>
      <w:r>
        <w:rPr>
          <w:i/>
        </w:rPr>
        <w:t>103rd ACSA Annual Meeting Proceedings, The Expanding Periphery and the Migrating Center</w:t>
      </w:r>
      <w:r>
        <w:rPr/>
        <w:t xml:space="preserve"> (pp. 622–630). Toronto, Ontario: Association of Collegiate Schools of Architecture. Retrieved from </w:t>
      </w:r>
      <w:hyperlink r:id="rId44">
        <w:r>
          <w:rPr>
            <w:rStyle w:val="InternetLink"/>
          </w:rPr>
          <w:t>http://apps.acsa-arch.org/resources/proceedings/uploads/streamfile.aspx?path=ACSA.AM.103&amp;name=ACSA.AM.103.75.pdf</w:t>
        </w:r>
      </w:hyperlink>
      <w:r>
        <w:rPr/>
        <w:t xml:space="preserve"> </w:t>
      </w:r>
    </w:p>
    <w:p>
      <w:pPr>
        <w:pStyle w:val="References"/>
        <w:rPr/>
      </w:pPr>
      <w:r>
        <w:rPr/>
        <w:t xml:space="preserve">Scrum Alliance. (2015). </w:t>
      </w:r>
      <w:r>
        <w:rPr>
          <w:i/>
        </w:rPr>
        <w:t>The 2015 State of Scrum Report</w:t>
      </w:r>
      <w:r>
        <w:rPr/>
        <w:t xml:space="preserve">. Retrieved from </w:t>
      </w:r>
      <w:hyperlink r:id="rId45">
        <w:r>
          <w:rPr>
            <w:rStyle w:val="InternetLink"/>
          </w:rPr>
          <w:t>https://www.scrumalliance.org/scrum/media/scrumalliancemedia/files%20and%20pdfs/state%20of%20scrum/scrum-alliance-state-of-scrum-2015.pdf</w:t>
        </w:r>
      </w:hyperlink>
      <w:r>
        <w:rPr/>
        <w:t xml:space="preserve">  </w:t>
      </w:r>
    </w:p>
    <w:p>
      <w:pPr>
        <w:pStyle w:val="References"/>
        <w:rPr/>
      </w:pPr>
      <w:r>
        <w:rPr/>
        <w:t xml:space="preserve">Seamon, D. (1998). Concretizing Heidegger´s Notion of Dwelling: The Contributions of Thomas Thiis-Evensen and Christopher Alexander. </w:t>
      </w:r>
      <w:r>
        <w:rPr>
          <w:i/>
        </w:rPr>
        <w:t>International Journal of Architectural Theory</w:t>
      </w:r>
      <w:r>
        <w:rPr/>
        <w:t xml:space="preserve">, </w:t>
      </w:r>
      <w:r>
        <w:rPr>
          <w:i/>
        </w:rPr>
        <w:t>3</w:t>
      </w:r>
      <w:r>
        <w:rPr/>
        <w:t xml:space="preserve">(2). Retrieved from </w:t>
      </w:r>
      <w:hyperlink r:id="rId46">
        <w:r>
          <w:rPr>
            <w:rStyle w:val="InternetLink"/>
          </w:rPr>
          <w:t>http://www.cloud-cuckoo.net/openarchive/wolke/eng/Subjects/982/Seamon/seamon_t.html</w:t>
        </w:r>
      </w:hyperlink>
      <w:r>
        <w:rPr/>
        <w:t xml:space="preserve"> </w:t>
      </w:r>
    </w:p>
    <w:p>
      <w:pPr>
        <w:pStyle w:val="References"/>
        <w:rPr/>
      </w:pPr>
      <w:r>
        <w:rPr/>
        <w:t xml:space="preserve">Seamon, D., &amp; Sowers, J. (2008). Place and Placelessness (1976): Edward Relph. In P. Hubbard, R. Kitchin, &amp; Valentine (Eds.), </w:t>
      </w:r>
      <w:r>
        <w:rPr>
          <w:i/>
        </w:rPr>
        <w:t>Key Texts in Human Geography</w:t>
      </w:r>
      <w:r>
        <w:rPr/>
        <w:t xml:space="preserve"> (pp. 43–51). London: Sage.</w:t>
      </w:r>
    </w:p>
    <w:p>
      <w:pPr>
        <w:pStyle w:val="References"/>
        <w:rPr/>
      </w:pPr>
      <w:r>
        <w:rPr/>
        <w:t xml:space="preserve">Thompson, D. W. (1942). </w:t>
      </w:r>
      <w:r>
        <w:rPr>
          <w:i/>
        </w:rPr>
        <w:t>On growth and form</w:t>
      </w:r>
      <w:r>
        <w:rPr/>
        <w:t xml:space="preserve">. New York: Macmillan. </w:t>
      </w:r>
    </w:p>
    <w:p>
      <w:pPr>
        <w:pStyle w:val="References"/>
        <w:rPr/>
      </w:pPr>
      <w:r>
        <w:rPr/>
        <w:t xml:space="preserve">Weick, K. E. (1989). Organized improvisation: 20 years of organizing. </w:t>
      </w:r>
      <w:r>
        <w:rPr>
          <w:i/>
        </w:rPr>
        <w:t>Communication Studies</w:t>
      </w:r>
      <w:r>
        <w:rPr/>
        <w:t xml:space="preserve">, </w:t>
      </w:r>
      <w:r>
        <w:rPr>
          <w:i/>
        </w:rPr>
        <w:t>40</w:t>
      </w:r>
      <w:r>
        <w:rPr/>
        <w:t xml:space="preserve">(4), 241–248. </w:t>
      </w:r>
      <w:hyperlink r:id="rId47">
        <w:r>
          <w:rPr>
            <w:rStyle w:val="InternetLink"/>
          </w:rPr>
          <w:t>http://doi.org/10.1080/10510978909368277</w:t>
        </w:r>
      </w:hyperlink>
      <w:r>
        <w:rPr/>
        <w:t xml:space="preserve"> </w:t>
      </w:r>
    </w:p>
    <w:p>
      <w:pPr>
        <w:pStyle w:val="References"/>
        <w:rPr/>
      </w:pPr>
      <w:r>
        <w:rPr/>
        <w:t xml:space="preserve">Wenger, E. (1999). </w:t>
      </w:r>
      <w:r>
        <w:rPr>
          <w:i/>
        </w:rPr>
        <w:t>Communities of practice: learning, meaning and identity</w:t>
      </w:r>
      <w:r>
        <w:rPr/>
        <w:t>. Cambridge, UK: Cambridge University Press.</w:t>
      </w:r>
      <w:bookmarkStart w:id="5362" w:name="__UnoMark__24071_140394355"/>
      <w:bookmarkStart w:id="5363" w:name="__UnoMark__17845_140394355"/>
      <w:bookmarkStart w:id="5364" w:name="__UnoMark__13642_140394355"/>
      <w:bookmarkStart w:id="5365" w:name="__UnoMark__5991_41873585"/>
      <w:bookmarkStart w:id="5366" w:name="__UnoMark__5474_41873585"/>
      <w:bookmarkStart w:id="5367" w:name="__UnoMark__4983_41873585"/>
      <w:bookmarkStart w:id="5368" w:name="__UnoMark__4531_41873585"/>
      <w:bookmarkStart w:id="5369" w:name="__UnoMark__3851_41873585"/>
      <w:bookmarkStart w:id="5370" w:name="__UnoMark__3395_41873585"/>
      <w:bookmarkStart w:id="5371" w:name="__UnoMark__3599_1689624541"/>
      <w:bookmarkStart w:id="5372" w:name="__UnoMark__3240_1689624541"/>
      <w:bookmarkStart w:id="5373" w:name="__UnoMark__2735_1689624541"/>
      <w:bookmarkStart w:id="5374" w:name="__UnoMark__2388_1689624541"/>
      <w:bookmarkStart w:id="5375" w:name="__UnoMark__2604_2050315779"/>
      <w:bookmarkStart w:id="5376" w:name="__UnoMark__1329_2060183323"/>
      <w:bookmarkStart w:id="5377" w:name="__UnoMark__2113_2050315779"/>
      <w:bookmarkStart w:id="5378" w:name="__UnoMark__1890_2050315779"/>
      <w:bookmarkStart w:id="5379" w:name="__UnoMark__3839_1205087773"/>
      <w:bookmarkStart w:id="5380" w:name="__UnoMark__3654_1205087773"/>
      <w:bookmarkStart w:id="5381" w:name="__UnoMark__4088_2127539303"/>
      <w:bookmarkStart w:id="5382" w:name="__UnoMark__4011_2127539303"/>
      <w:bookmarkStart w:id="5383" w:name="__UnoMark__1113_283081194"/>
      <w:bookmarkStart w:id="5384" w:name="__UnoMark__1033_283081194"/>
      <w:bookmarkStart w:id="5385" w:name="__UnoMark__963_283081194"/>
      <w:bookmarkStart w:id="5386" w:name="__UnoMark__920_283081194"/>
      <w:bookmarkStart w:id="5387" w:name="__UnoMark__993_2060183323"/>
      <w:bookmarkStart w:id="5388" w:name="__UnoMark__1139_2060183323"/>
      <w:bookmarkStart w:id="5389" w:name="__UnoMark__2368_2050315779"/>
      <w:bookmarkStart w:id="5390" w:name="__UnoMark__21595_836371768"/>
      <w:bookmarkStart w:id="5391" w:name="__UnoMark__19374_836371768"/>
      <w:bookmarkStart w:id="5392" w:name="__UnoMark__18206_836371768"/>
      <w:bookmarkStart w:id="5393" w:name="__UnoMark__17103_836371768"/>
      <w:bookmarkStart w:id="5394" w:name="__UnoMark__15923_836371768"/>
      <w:bookmarkStart w:id="5395" w:name="__UnoMark__13747_836371768"/>
      <w:bookmarkStart w:id="5396" w:name="__UnoMark__12619_836371768"/>
      <w:bookmarkStart w:id="5397" w:name="__UnoMark__10452_836371768"/>
      <w:bookmarkStart w:id="5398" w:name="__UnoMark__18184_1661744717"/>
      <w:bookmarkStart w:id="5399" w:name="__UnoMark__16973_1661744717"/>
      <w:bookmarkStart w:id="5400" w:name="__UnoMark__16093_1661744717"/>
      <w:bookmarkStart w:id="5401" w:name="__UnoMark__15211_1661744717"/>
      <w:bookmarkStart w:id="5402" w:name="__UnoMark__6496_41873585"/>
      <w:bookmarkStart w:id="5403" w:name="__UnoMark__7395_1586897740"/>
      <w:bookmarkStart w:id="5404" w:name="__UnoMark__13408_722878254"/>
      <w:bookmarkStart w:id="5405" w:name="__UnoMark__12715_722878254"/>
      <w:bookmarkStart w:id="5406" w:name="__UnoMark__12044_722878254"/>
      <w:bookmarkStart w:id="5407" w:name="__UnoMark__11368_722878254"/>
      <w:bookmarkStart w:id="5408" w:name="__UnoMark__10739_722878254"/>
      <w:bookmarkStart w:id="5409" w:name="__UnoMark__10124_722878254"/>
      <w:bookmarkStart w:id="5410" w:name="__UnoMark__5938_1443136783"/>
      <w:bookmarkStart w:id="5411" w:name="__UnoMark__5141_1443136783"/>
      <w:bookmarkStart w:id="5412" w:name="__UnoMark__4064_1443136783"/>
      <w:bookmarkStart w:id="5413" w:name="__UnoMark__7569_41873585"/>
      <w:bookmarkStart w:id="5414" w:name="__UnoMark__7088_41873585"/>
      <w:bookmarkStart w:id="5415" w:name="__UnoMark__14367_1661744717"/>
      <w:bookmarkStart w:id="5416" w:name="__UnoMark__10334_1492540610"/>
      <w:bookmarkStart w:id="5417" w:name="__UnoMark__10971_1492540610"/>
      <w:bookmarkStart w:id="5418" w:name="__UnoMark__5987_497913431"/>
      <w:bookmarkStart w:id="5419" w:name="__UnoMark__7449_497913431"/>
      <w:bookmarkStart w:id="5420" w:name="__UnoMark__8140_497913431"/>
      <w:bookmarkStart w:id="5421" w:name="__UnoMark__22563_497913431"/>
      <w:bookmarkStart w:id="5422" w:name="__UnoMark__23288_497913431"/>
      <w:bookmarkStart w:id="5423" w:name="__UnoMark__24004_497913431"/>
      <w:bookmarkStart w:id="5424" w:name="__UnoMark__25590_497913431"/>
      <w:bookmarkStart w:id="5425" w:name="__UnoMark__7218_435217427"/>
      <w:bookmarkStart w:id="5426" w:name="__UnoMark__7996_435217427"/>
      <w:bookmarkStart w:id="5427" w:name="__UnoMark__9732_1492540610"/>
      <w:bookmarkStart w:id="5428" w:name="__UnoMark__8238_283745954"/>
      <w:bookmarkStart w:id="5429" w:name="__UnoMark__9036_283745954"/>
      <w:bookmarkStart w:id="5430" w:name="__UnoMark__9861_283745954"/>
      <w:bookmarkStart w:id="5431" w:name="__UnoMark__11263_283745954"/>
      <w:bookmarkStart w:id="5432" w:name="__UnoMark__10076_1880123655"/>
      <w:bookmarkStart w:id="5433" w:name="__UnoMark__11033_1880123655"/>
      <w:bookmarkStart w:id="5434" w:name="__UnoMark__11959_1880123655"/>
      <w:bookmarkStart w:id="5435" w:name="__UnoMark__12933_1880123655"/>
      <w:bookmarkStart w:id="5436" w:name="__UnoMark__13875_1880123655"/>
      <w:bookmarkStart w:id="5437" w:name="__UnoMark__15016_1880123655"/>
      <w:bookmarkStart w:id="5438" w:name="__UnoMark__16635_1880123655"/>
      <w:bookmarkStart w:id="5439" w:name="__UnoMark__17676_1880123655"/>
      <w:bookmarkStart w:id="5440" w:name="__UnoMark__8783_435217427"/>
      <w:bookmarkStart w:id="5441" w:name="__UnoMark__5013_2060183323"/>
      <w:bookmarkStart w:id="5442" w:name="__UnoMark__18790_1880123655"/>
      <w:bookmarkStart w:id="5443" w:name="__UnoMark__5328_2060183323"/>
      <w:bookmarkStart w:id="5444" w:name="__UnoMark__5509_2060183323"/>
      <w:bookmarkStart w:id="5445" w:name="__UnoMark__5707_2060183323"/>
      <w:bookmarkStart w:id="5446" w:name="__UnoMark__5885_2060183323"/>
      <w:bookmarkStart w:id="5447" w:name="__UnoMark__6120_2060183323"/>
      <w:bookmarkStart w:id="5448" w:name="__UnoMark__4285_60934169"/>
      <w:bookmarkStart w:id="5449" w:name="__UnoMark__4549_60934169"/>
      <w:bookmarkStart w:id="5450" w:name="__UnoMark__4800_60934169"/>
      <w:bookmarkStart w:id="5451" w:name="__UnoMark__5085_60934169"/>
      <w:bookmarkStart w:id="5452" w:name="__UnoMark__5639_60934169"/>
      <w:bookmarkStart w:id="5453" w:name="__UnoMark__5908_60934169"/>
      <w:bookmarkStart w:id="5454" w:name="__UnoMark__6280_1492540610"/>
      <w:bookmarkStart w:id="5455" w:name="__UnoMark__5701_1492540610"/>
      <w:bookmarkStart w:id="5456" w:name="__UnoMark__5118_1492540610"/>
      <w:bookmarkStart w:id="5457" w:name="__UnoMark__4360_599023520"/>
      <w:bookmarkStart w:id="5458" w:name="__UnoMark__3839_599023520"/>
      <w:bookmarkStart w:id="5459" w:name="__UnoMark__13035_1244819659"/>
      <w:bookmarkStart w:id="5460" w:name="__UnoMark__12451_1244819659"/>
      <w:bookmarkStart w:id="5461" w:name="__UnoMark__4532_348219782"/>
      <w:bookmarkStart w:id="5462" w:name="__UnoMark__4087_348219782"/>
      <w:bookmarkStart w:id="5463" w:name="__UnoMark__3704_348219782"/>
      <w:bookmarkStart w:id="5464" w:name="__UnoMark__2693_348219782"/>
      <w:bookmarkStart w:id="5465" w:name="__UnoMark__6891_60934169"/>
      <w:bookmarkStart w:id="5466" w:name="__UnoMark__6246_60934169"/>
      <w:bookmarkStart w:id="5467" w:name="__UnoMark__22710_836371768"/>
      <w:bookmarkStart w:id="5468" w:name="__UnoMark__23837_836371768"/>
      <w:bookmarkStart w:id="5469" w:name="__UnoMark__24974_836371768"/>
      <w:bookmarkStart w:id="5470" w:name="__UnoMark__27636_836371768"/>
      <w:bookmarkStart w:id="5471" w:name="__UnoMark__28785_836371768"/>
      <w:bookmarkStart w:id="5472" w:name="__UnoMark__29971_836371768"/>
      <w:bookmarkStart w:id="5473" w:name="__UnoMark__31126_836371768"/>
      <w:bookmarkStart w:id="5474" w:name="__UnoMark__12275_2025191570"/>
      <w:bookmarkStart w:id="5475" w:name="__UnoMark__19050_2025191570"/>
      <w:bookmarkStart w:id="5476" w:name="__UnoMark__20254_2025191570"/>
      <w:bookmarkStart w:id="5477" w:name="__UnoMark__21508_2025191570"/>
      <w:bookmarkStart w:id="5478" w:name="__UnoMark__41136_2025191570"/>
      <w:bookmarkStart w:id="5479" w:name="__UnoMark__42355_2025191570"/>
      <w:bookmarkStart w:id="5480" w:name="__UnoMark__43609_2025191570"/>
      <w:bookmarkStart w:id="5481" w:name="__UnoMark__44871_2025191570"/>
      <w:bookmarkEnd w:id="5358"/>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r>
        <w:rPr/>
        <w:t>. New York: Macmillan.</w:t>
      </w:r>
    </w:p>
    <w:p>
      <w:pPr>
        <w:pStyle w:val="References"/>
        <w:rPr>
          <w:lang w:val="en-GB"/>
        </w:rPr>
      </w:pPr>
      <w:r>
        <w:rPr>
          <w:lang w:val="en-GB"/>
        </w:rPr>
      </w:r>
    </w:p>
    <w:p>
      <w:pPr>
        <w:pStyle w:val="Heading1"/>
        <w:numPr>
          <w:ilvl w:val="0"/>
          <w:numId w:val="2"/>
        </w:numPr>
        <w:ind w:left="0" w:hanging="0"/>
        <w:rPr/>
      </w:pPr>
      <w:r>
        <w:rPr>
          <w:lang w:val="en-GB"/>
        </w:rPr>
        <w:t>About the author:</w:t>
      </w:r>
    </w:p>
    <w:p>
      <w:pPr>
        <w:pStyle w:val="Normal"/>
        <w:rPr/>
      </w:pPr>
      <w:r>
        <w:drawing>
          <wp:anchor behindDoc="0" distT="0" distB="0" distL="0" distR="71755" simplePos="0" locked="0" layoutInCell="1" allowOverlap="1" relativeHeight="2">
            <wp:simplePos x="0" y="0"/>
            <wp:positionH relativeFrom="column">
              <wp:align>left</wp:align>
            </wp:positionH>
            <wp:positionV relativeFrom="paragraph">
              <wp:posOffset>635</wp:posOffset>
            </wp:positionV>
            <wp:extent cx="1270000" cy="1270000"/>
            <wp:effectExtent l="0" t="0" r="0" b="0"/>
            <wp:wrapSquare wrapText="largest"/>
            <wp:docPr id="5" name="David Ing headsho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 Ing headshot" descr=""/>
                    <pic:cNvPicPr>
                      <a:picLocks noChangeAspect="1" noChangeArrowheads="1"/>
                    </pic:cNvPicPr>
                  </pic:nvPicPr>
                  <pic:blipFill>
                    <a:blip r:embed="rId48"/>
                    <a:stretch>
                      <a:fillRect/>
                    </a:stretch>
                  </pic:blipFill>
                  <pic:spPr bwMode="auto">
                    <a:xfrm>
                      <a:off x="0" y="0"/>
                      <a:ext cx="1270000" cy="1270000"/>
                    </a:xfrm>
                    <a:prstGeom prst="rect">
                      <a:avLst/>
                    </a:prstGeom>
                  </pic:spPr>
                </pic:pic>
              </a:graphicData>
            </a:graphic>
          </wp:anchor>
        </w:drawing>
      </w:r>
      <w:r>
        <w:rPr>
          <w:lang w:val="en-GB"/>
        </w:rPr>
        <w:t>D</w:t>
      </w:r>
      <w:r>
        <w:rPr>
          <w:lang w:val="en-GB"/>
        </w:rPr>
        <w:t xml:space="preserve">avid Ing is a visiting scholar at </w:t>
      </w:r>
      <w:r>
        <w:rPr>
          <w:i/>
          <w:iCs/>
          <w:lang w:val="en-GB"/>
        </w:rPr>
        <w:t>Aalto University</w:t>
      </w:r>
      <w:r>
        <w:rPr>
          <w:lang w:val="en-GB"/>
        </w:rPr>
        <w:t xml:space="preserve"> and a trustee for the </w:t>
      </w:r>
      <w:r>
        <w:rPr>
          <w:i/>
          <w:iCs/>
          <w:lang w:val="en-GB"/>
        </w:rPr>
        <w:t>International Society for the Systems Sciences</w:t>
      </w:r>
      <w:r>
        <w:rPr>
          <w:lang w:val="en-GB"/>
        </w:rPr>
        <w:t xml:space="preserve"> (ISSS).  He has been active in the service systems science community internationally, and is an ambassador for the </w:t>
      </w:r>
      <w:r>
        <w:rPr>
          <w:i/>
          <w:iCs/>
          <w:lang w:val="en-GB"/>
        </w:rPr>
        <w:t>International Society for Service Innovation Professionals</w:t>
      </w:r>
      <w:r>
        <w:rPr>
          <w:lang w:val="en-GB"/>
        </w:rPr>
        <w:t xml:space="preserve"> (ISSIP).  In 2012, he graduated from IBM after 28 years of service.  A resident of Toronto, Canada, he is frequent traveller and most readily found on the Internet.</w:t>
      </w:r>
    </w:p>
    <w:p>
      <w:pPr>
        <w:pStyle w:val="Authors"/>
        <w:spacing w:before="0" w:after="200"/>
        <w:rPr/>
      </w:pPr>
      <w:r>
        <w:rPr/>
      </w:r>
    </w:p>
    <w:sectPr>
      <w:footerReference w:type="default" r:id="rId49"/>
      <w:type w:val="nextPage"/>
      <w:pgSz w:w="11906" w:h="16838"/>
      <w:pgMar w:left="1417" w:right="1417" w:header="0" w:top="1417" w:footer="708"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Calibri">
    <w:charset w:val="01"/>
    <w:family w:val="swiss"/>
    <w:pitch w:val="variable"/>
  </w:font>
  <w:font w:name="Times New Roman">
    <w:charset w:val="01"/>
    <w:family w:val="roman"/>
    <w:pitch w:val="variable"/>
  </w:font>
  <w:font w:name="Tahoma">
    <w:charset w:val="01"/>
    <w:family w:val="roman"/>
    <w:pitch w:val="variable"/>
  </w:font>
  <w:font w:name="Cambria">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t xml:space="preserve">Page </w:t>
    </w:r>
    <w:r>
      <w:rPr/>
      <w:fldChar w:fldCharType="begin"/>
    </w:r>
    <w:r>
      <w:instrText> PAGE </w:instrText>
    </w:r>
    <w:r>
      <w:fldChar w:fldCharType="separate"/>
    </w:r>
    <w:r>
      <w:t>2</w:t>
    </w:r>
    <w:r>
      <w:fldChar w:fldCharType="end"/>
    </w:r>
    <w:r>
      <w:rPr/>
      <w:t xml:space="preserve"> of </w:t>
    </w:r>
    <w:r>
      <w:rPr/>
      <w:fldChar w:fldCharType="begin"/>
    </w:r>
    <w:r>
      <w:instrText> NUMPAGES </w:instrText>
    </w:r>
    <w:r>
      <w:fldChar w:fldCharType="separate"/>
    </w:r>
    <w:r>
      <w:t>47</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360" w:hanging="360"/>
      </w:pPr>
      <w:rPr>
        <w:rFonts w:cs="Times New Roman"/>
      </w:rPr>
    </w:lvl>
    <w:lvl w:ilvl="1">
      <w:start w:val="1"/>
      <w:pStyle w:val="Heading2"/>
      <w:numFmt w:val="decimal"/>
      <w:lvlText w:val="%1.%2."/>
      <w:lvlJc w:val="left"/>
      <w:pPr>
        <w:ind w:left="792" w:hanging="432"/>
      </w:pPr>
      <w:rPr>
        <w:rFonts w:cs="Times New Roman"/>
      </w:rPr>
    </w:lvl>
    <w:lvl w:ilvl="2">
      <w:start w:val="1"/>
      <w:pStyle w:val="Heading3"/>
      <w:numFmt w:val="decimal"/>
      <w:lvlText w:val="%1.%2.%3."/>
      <w:lvlJc w:val="left"/>
      <w:pPr>
        <w:ind w:left="1224" w:hanging="504"/>
      </w:pPr>
      <w:rPr>
        <w:rFonts w:cs="Times New Roman"/>
      </w:r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lvl w:ilvl="0">
      <w:start w:val="1"/>
      <w:numFmt w:val="bullet"/>
      <w:lvlText w:val=""/>
      <w:lvlJc w:val="left"/>
      <w:pPr>
        <w:tabs>
          <w:tab w:val="num" w:pos="1440"/>
        </w:tabs>
        <w:ind w:left="1440" w:hanging="360"/>
      </w:pPr>
      <w:rPr>
        <w:rFonts w:ascii="Symbol" w:hAnsi="Symbol" w:cs="Symbol" w:hint="default"/>
        <w:rFonts w:cs="OpenSymbol"/>
      </w:rPr>
    </w:lvl>
    <w:lvl w:ilvl="1">
      <w:start w:val="1"/>
      <w:numFmt w:val="bullet"/>
      <w:lvlText w:val="◦"/>
      <w:lvlJc w:val="left"/>
      <w:pPr>
        <w:tabs>
          <w:tab w:val="num" w:pos="1800"/>
        </w:tabs>
        <w:ind w:left="1800" w:hanging="360"/>
      </w:pPr>
      <w:rPr>
        <w:rFonts w:ascii="OpenSymbol" w:hAnsi="OpenSymbol" w:cs="OpenSymbol" w:hint="default"/>
        <w:rFonts w:cs="OpenSymbol"/>
      </w:rPr>
    </w:lvl>
    <w:lvl w:ilvl="2">
      <w:start w:val="1"/>
      <w:numFmt w:val="bullet"/>
      <w:lvlText w:val="▪"/>
      <w:lvlJc w:val="left"/>
      <w:pPr>
        <w:tabs>
          <w:tab w:val="num" w:pos="2160"/>
        </w:tabs>
        <w:ind w:left="2160" w:hanging="360"/>
      </w:pPr>
      <w:rPr>
        <w:rFonts w:ascii="OpenSymbol" w:hAnsi="OpenSymbol" w:cs="OpenSymbol" w:hint="default"/>
        <w:rFonts w:cs="OpenSymbol"/>
      </w:rPr>
    </w:lvl>
    <w:lvl w:ilvl="3">
      <w:start w:val="1"/>
      <w:numFmt w:val="bullet"/>
      <w:lvlText w:val=""/>
      <w:lvlJc w:val="left"/>
      <w:pPr>
        <w:tabs>
          <w:tab w:val="num" w:pos="2520"/>
        </w:tabs>
        <w:ind w:left="2520" w:hanging="360"/>
      </w:pPr>
      <w:rPr>
        <w:rFonts w:ascii="Symbol" w:hAnsi="Symbol" w:cs="Symbol" w:hint="default"/>
        <w:rFonts w:cs="OpenSymbol"/>
      </w:rPr>
    </w:lvl>
    <w:lvl w:ilvl="4">
      <w:start w:val="1"/>
      <w:numFmt w:val="bullet"/>
      <w:lvlText w:val="◦"/>
      <w:lvlJc w:val="left"/>
      <w:pPr>
        <w:tabs>
          <w:tab w:val="num" w:pos="2880"/>
        </w:tabs>
        <w:ind w:left="2880" w:hanging="360"/>
      </w:pPr>
      <w:rPr>
        <w:rFonts w:ascii="OpenSymbol" w:hAnsi="OpenSymbol" w:cs="OpenSymbol" w:hint="default"/>
        <w:rFonts w:cs="OpenSymbol"/>
      </w:rPr>
    </w:lvl>
    <w:lvl w:ilvl="5">
      <w:start w:val="1"/>
      <w:numFmt w:val="bullet"/>
      <w:lvlText w:val="▪"/>
      <w:lvlJc w:val="left"/>
      <w:pPr>
        <w:tabs>
          <w:tab w:val="num" w:pos="3240"/>
        </w:tabs>
        <w:ind w:left="3240" w:hanging="360"/>
      </w:pPr>
      <w:rPr>
        <w:rFonts w:ascii="OpenSymbol" w:hAnsi="OpenSymbol" w:cs="OpenSymbol" w:hint="default"/>
        <w:rFonts w:cs="OpenSymbol"/>
      </w:rPr>
    </w:lvl>
    <w:lvl w:ilvl="6">
      <w:start w:val="1"/>
      <w:numFmt w:val="bullet"/>
      <w:lvlText w:val=""/>
      <w:lvlJc w:val="left"/>
      <w:pPr>
        <w:tabs>
          <w:tab w:val="num" w:pos="3600"/>
        </w:tabs>
        <w:ind w:left="3600" w:hanging="360"/>
      </w:pPr>
      <w:rPr>
        <w:rFonts w:ascii="Symbol" w:hAnsi="Symbol" w:cs="Symbol" w:hint="default"/>
        <w:rFonts w:cs="OpenSymbol"/>
      </w:rPr>
    </w:lvl>
    <w:lvl w:ilvl="7">
      <w:start w:val="1"/>
      <w:numFmt w:val="bullet"/>
      <w:lvlText w:val="◦"/>
      <w:lvlJc w:val="left"/>
      <w:pPr>
        <w:tabs>
          <w:tab w:val="num" w:pos="3960"/>
        </w:tabs>
        <w:ind w:left="3960" w:hanging="360"/>
      </w:pPr>
      <w:rPr>
        <w:rFonts w:ascii="OpenSymbol" w:hAnsi="OpenSymbol" w:cs="OpenSymbol" w:hint="default"/>
        <w:rFonts w:cs="OpenSymbol"/>
      </w:rPr>
    </w:lvl>
    <w:lvl w:ilvl="8">
      <w:start w:val="1"/>
      <w:numFmt w:val="bullet"/>
      <w:lvlText w:val="▪"/>
      <w:lvlJc w:val="left"/>
      <w:pPr>
        <w:tabs>
          <w:tab w:val="num" w:pos="4320"/>
        </w:tabs>
        <w:ind w:left="4320" w:hanging="360"/>
      </w:pPr>
      <w:rPr>
        <w:rFonts w:ascii="OpenSymbol" w:hAnsi="OpenSymbol" w:cs="OpenSymbol" w:hint="default"/>
        <w:rFonts w:cs="OpenSymbol"/>
      </w:rPr>
    </w:lvl>
  </w:abstractNum>
  <w:abstractNum w:abstractNumId="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1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Calibri" w:asciiTheme="minorHAnsi" w:cstheme="minorHAnsi" w:eastAsiaTheme="minorEastAsia" w:hAnsiTheme="minorHAnsi"/>
        <w:szCs w:val="22"/>
        <w:lang w:val="de-CH"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lsdException w:name="Strong" w:uiPriority="22" w:semiHidden="0" w:unhideWhenUsed="0"/>
    <w:lsdException w:name="Emphasis" w:uiPriority="20" w:semiHidden="0" w:unhideWhenUsed="0"/>
    <w:lsdException w:name="Table Grid" w:uiPriority="59" w:semiHidden="0" w:unhideWhenUsed="0"/>
    <w:lsdException w:name="Placeholder Text"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005572"/>
    <w:pPr>
      <w:widowControl/>
      <w:bidi w:val="0"/>
      <w:spacing w:lineRule="auto" w:line="276" w:before="0" w:after="200"/>
      <w:jc w:val="both"/>
    </w:pPr>
    <w:rPr>
      <w:rFonts w:ascii="Arial" w:hAnsi="Arial" w:eastAsia="" w:cs="Times New Roman" w:eastAsiaTheme="minorEastAsia"/>
      <w:color w:val="00000A"/>
      <w:sz w:val="22"/>
      <w:szCs w:val="22"/>
      <w:lang w:val="de-CH" w:eastAsia="en-US" w:bidi="ar-SA"/>
    </w:rPr>
  </w:style>
  <w:style w:type="paragraph" w:styleId="Heading1">
    <w:name w:val="Heading 1"/>
    <w:basedOn w:val="Heading"/>
    <w:link w:val="10"/>
    <w:uiPriority w:val="9"/>
    <w:qFormat/>
    <w:rsid w:val="000e440f"/>
    <w:pPr>
      <w:widowControl w:val="false"/>
      <w:numPr>
        <w:ilvl w:val="0"/>
        <w:numId w:val="1"/>
      </w:numPr>
      <w:bidi w:val="0"/>
      <w:spacing w:before="120" w:after="120"/>
      <w:ind w:left="0" w:hanging="0"/>
      <w:jc w:val="left"/>
      <w:outlineLvl w:val="0"/>
      <w:outlineLvl w:val="0"/>
    </w:pPr>
    <w:rPr>
      <w:rFonts w:ascii="Calibri" w:hAnsi="Calibri" w:eastAsia="" w:cs="Calibri" w:asciiTheme="minorHAnsi" w:cstheme="minorHAnsi" w:eastAsiaTheme="minorEastAsia" w:hAnsiTheme="minorHAnsi"/>
      <w:b/>
      <w:color w:val="00000A"/>
      <w:sz w:val="28"/>
      <w:szCs w:val="22"/>
      <w:lang w:val="de-CH" w:eastAsia="en-US" w:bidi="ar-SA"/>
    </w:rPr>
  </w:style>
  <w:style w:type="paragraph" w:styleId="Heading2">
    <w:name w:val="Heading 2"/>
    <w:basedOn w:val="Heading1"/>
    <w:link w:val="20"/>
    <w:uiPriority w:val="9"/>
    <w:unhideWhenUsed/>
    <w:qFormat/>
    <w:rsid w:val="00331882"/>
    <w:pPr>
      <w:numPr>
        <w:ilvl w:val="1"/>
        <w:numId w:val="1"/>
      </w:numPr>
      <w:outlineLvl w:val="1"/>
      <w:outlineLvl w:val="1"/>
    </w:pPr>
    <w:rPr>
      <w:sz w:val="24"/>
    </w:rPr>
  </w:style>
  <w:style w:type="paragraph" w:styleId="Heading3">
    <w:name w:val="Heading 3"/>
    <w:basedOn w:val="Heading2"/>
    <w:link w:val="30"/>
    <w:uiPriority w:val="9"/>
    <w:unhideWhenUsed/>
    <w:qFormat/>
    <w:rsid w:val="00331882"/>
    <w:pPr>
      <w:numPr>
        <w:ilvl w:val="2"/>
        <w:numId w:val="1"/>
      </w:numPr>
      <w:outlineLvl w:val="2"/>
      <w:outlineLvl w:val="2"/>
    </w:pPr>
    <w:rPr>
      <w:sz w:val="22"/>
    </w:rPr>
  </w:style>
  <w:style w:type="character" w:styleId="DefaultParagraphFont" w:default="1">
    <w:name w:val="Default Paragraph Font"/>
    <w:uiPriority w:val="1"/>
    <w:semiHidden/>
    <w:unhideWhenUsed/>
    <w:qFormat/>
    <w:rPr/>
  </w:style>
  <w:style w:type="character" w:styleId="1" w:customStyle="1">
    <w:name w:val="見出し 1 (文字)"/>
    <w:basedOn w:val="DefaultParagraphFont"/>
    <w:link w:val="1"/>
    <w:uiPriority w:val="9"/>
    <w:qFormat/>
    <w:locked/>
    <w:rsid w:val="000e440f"/>
    <w:rPr>
      <w:rFonts w:ascii="Times New Roman" w:hAnsi="Times New Roman" w:cs="Times New Roman"/>
      <w:b/>
      <w:sz w:val="28"/>
    </w:rPr>
  </w:style>
  <w:style w:type="character" w:styleId="2" w:customStyle="1">
    <w:name w:val="見出し 2 (文字)"/>
    <w:basedOn w:val="DefaultParagraphFont"/>
    <w:link w:val="2"/>
    <w:uiPriority w:val="9"/>
    <w:qFormat/>
    <w:locked/>
    <w:rsid w:val="00331882"/>
    <w:rPr>
      <w:rFonts w:ascii="Times New Roman" w:hAnsi="Times New Roman" w:cs="Times New Roman"/>
      <w:b/>
      <w:sz w:val="24"/>
    </w:rPr>
  </w:style>
  <w:style w:type="character" w:styleId="3" w:customStyle="1">
    <w:name w:val="見出し 3 (文字)"/>
    <w:basedOn w:val="DefaultParagraphFont"/>
    <w:link w:val="3"/>
    <w:uiPriority w:val="9"/>
    <w:qFormat/>
    <w:locked/>
    <w:rsid w:val="00331882"/>
    <w:rPr>
      <w:rFonts w:ascii="Times New Roman" w:hAnsi="Times New Roman" w:cs="Times New Roman"/>
      <w:b/>
    </w:rPr>
  </w:style>
  <w:style w:type="character" w:styleId="Style11" w:customStyle="1">
    <w:name w:val="ヘッダー (文字)"/>
    <w:basedOn w:val="DefaultParagraphFont"/>
    <w:link w:val="a4"/>
    <w:uiPriority w:val="99"/>
    <w:qFormat/>
    <w:locked/>
    <w:rsid w:val="00990686"/>
    <w:rPr>
      <w:rFonts w:cs="Times New Roman"/>
    </w:rPr>
  </w:style>
  <w:style w:type="character" w:styleId="Style12" w:customStyle="1">
    <w:name w:val="フッター (文字)"/>
    <w:basedOn w:val="DefaultParagraphFont"/>
    <w:link w:val="a6"/>
    <w:uiPriority w:val="99"/>
    <w:qFormat/>
    <w:locked/>
    <w:rsid w:val="00990686"/>
    <w:rPr>
      <w:rFonts w:cs="Times New Roman"/>
    </w:rPr>
  </w:style>
  <w:style w:type="character" w:styleId="Style13" w:customStyle="1">
    <w:name w:val="吹き出し (文字)"/>
    <w:basedOn w:val="DefaultParagraphFont"/>
    <w:link w:val="a8"/>
    <w:uiPriority w:val="99"/>
    <w:semiHidden/>
    <w:qFormat/>
    <w:locked/>
    <w:rsid w:val="00990686"/>
    <w:rPr>
      <w:rFonts w:ascii="Tahoma" w:hAnsi="Tahoma" w:cs="Tahoma"/>
      <w:sz w:val="16"/>
      <w:szCs w:val="16"/>
    </w:rPr>
  </w:style>
  <w:style w:type="character" w:styleId="Style14" w:customStyle="1">
    <w:name w:val="表題 (文字)"/>
    <w:basedOn w:val="DefaultParagraphFont"/>
    <w:link w:val="aa"/>
    <w:uiPriority w:val="10"/>
    <w:qFormat/>
    <w:locked/>
    <w:rsid w:val="00005572"/>
    <w:rPr>
      <w:rFonts w:ascii="Arial" w:hAnsi="Arial" w:eastAsia="" w:cs="Times New Roman" w:eastAsiaTheme="majorEastAsia"/>
      <w:spacing w:val="5"/>
      <w:sz w:val="52"/>
      <w:szCs w:val="52"/>
    </w:rPr>
  </w:style>
  <w:style w:type="character" w:styleId="InternetLink">
    <w:name w:val="Internet Link"/>
    <w:basedOn w:val="DefaultParagraphFont"/>
    <w:uiPriority w:val="99"/>
    <w:unhideWhenUsed/>
    <w:rsid w:val="00b54223"/>
    <w:rPr>
      <w:rFonts w:cs="Times New Roman"/>
      <w:color w:val="702964"/>
      <w:u w:val="single"/>
    </w:rPr>
  </w:style>
  <w:style w:type="character" w:styleId="BerschriftohneNummerierungZchn" w:customStyle="1">
    <w:name w:val="Überschrift ohne Nummerierung Zchn"/>
    <w:basedOn w:val="DefaultParagraphFont"/>
    <w:link w:val="berschriftohneNummerierung"/>
    <w:qFormat/>
    <w:locked/>
    <w:rsid w:val="005732f2"/>
    <w:rPr>
      <w:rFonts w:ascii="Times New Roman" w:hAnsi="Times New Roman" w:cs="Times New Roman"/>
      <w:b/>
    </w:rPr>
  </w:style>
  <w:style w:type="character" w:styleId="AbstractZchn" w:customStyle="1">
    <w:name w:val="Abstract Zchn"/>
    <w:basedOn w:val="DefaultParagraphFont"/>
    <w:link w:val="Abstract"/>
    <w:qFormat/>
    <w:locked/>
    <w:rsid w:val="005732f2"/>
    <w:rPr>
      <w:rFonts w:ascii="Times New Roman" w:hAnsi="Times New Roman" w:cs="Times New Roman"/>
      <w:i/>
    </w:rPr>
  </w:style>
  <w:style w:type="character" w:styleId="AuthorsZchn" w:customStyle="1">
    <w:name w:val="Authors Zchn"/>
    <w:basedOn w:val="DefaultParagraphFont"/>
    <w:link w:val="Authors"/>
    <w:qFormat/>
    <w:locked/>
    <w:rsid w:val="005732f2"/>
    <w:rPr>
      <w:rFonts w:ascii="Times New Roman" w:hAnsi="Times New Roman" w:cs="Times New Roman"/>
    </w:rPr>
  </w:style>
  <w:style w:type="character" w:styleId="Annotationreference">
    <w:name w:val="annotation reference"/>
    <w:basedOn w:val="DefaultParagraphFont"/>
    <w:uiPriority w:val="99"/>
    <w:semiHidden/>
    <w:unhideWhenUsed/>
    <w:qFormat/>
    <w:rsid w:val="001b0ba8"/>
    <w:rPr>
      <w:rFonts w:cs="Times New Roman"/>
      <w:sz w:val="16"/>
      <w:szCs w:val="16"/>
    </w:rPr>
  </w:style>
  <w:style w:type="character" w:styleId="Style15" w:customStyle="1">
    <w:name w:val="コメント文字列 (文字)"/>
    <w:basedOn w:val="DefaultParagraphFont"/>
    <w:link w:val="af0"/>
    <w:uiPriority w:val="99"/>
    <w:semiHidden/>
    <w:qFormat/>
    <w:locked/>
    <w:rsid w:val="001b0ba8"/>
    <w:rPr>
      <w:rFonts w:ascii="Times New Roman" w:hAnsi="Times New Roman" w:cs="Times New Roman"/>
      <w:sz w:val="20"/>
      <w:szCs w:val="20"/>
    </w:rPr>
  </w:style>
  <w:style w:type="character" w:styleId="Style16" w:customStyle="1">
    <w:name w:val="コメント内容 (文字)"/>
    <w:basedOn w:val="Style15"/>
    <w:link w:val="af2"/>
    <w:uiPriority w:val="99"/>
    <w:semiHidden/>
    <w:qFormat/>
    <w:locked/>
    <w:rsid w:val="001b0ba8"/>
    <w:rPr>
      <w:rFonts w:ascii="Times New Roman" w:hAnsi="Times New Roman" w:cs="Times New Roman"/>
      <w:b/>
      <w:bCs/>
      <w:sz w:val="20"/>
      <w:szCs w:val="20"/>
    </w:rPr>
  </w:style>
  <w:style w:type="character" w:styleId="Web" w:customStyle="1">
    <w:name w:val="標準 (Web) (文字)"/>
    <w:basedOn w:val="DefaultParagraphFont"/>
    <w:link w:val="Web"/>
    <w:uiPriority w:val="99"/>
    <w:semiHidden/>
    <w:qFormat/>
    <w:locked/>
    <w:rsid w:val="001b0ba8"/>
    <w:rPr>
      <w:rFonts w:ascii="Times New Roman" w:hAnsi="Times New Roman" w:eastAsia="" w:cs="Times New Roman" w:eastAsiaTheme="minorEastAsia"/>
      <w:sz w:val="24"/>
      <w:szCs w:val="24"/>
      <w:lang w:val="x-none" w:eastAsia="de-CH"/>
    </w:rPr>
  </w:style>
  <w:style w:type="character" w:styleId="ReferencesZchn" w:customStyle="1">
    <w:name w:val="References Zchn"/>
    <w:basedOn w:val="Web"/>
    <w:link w:val="References"/>
    <w:qFormat/>
    <w:locked/>
    <w:rsid w:val="001b0ba8"/>
    <w:rPr>
      <w:rFonts w:ascii="Times New Roman" w:hAnsi="Times New Roman" w:eastAsia="" w:cs="Times New Roman" w:eastAsiaTheme="minorEastAsia"/>
      <w:sz w:val="24"/>
      <w:szCs w:val="24"/>
      <w:lang w:val="x-none" w:eastAsia="de-CH"/>
    </w:rPr>
  </w:style>
  <w:style w:type="character" w:styleId="Strong">
    <w:name w:val="Strong"/>
    <w:basedOn w:val="DefaultParagraphFont"/>
    <w:uiPriority w:val="22"/>
    <w:qFormat/>
    <w:rsid w:val="003e6c59"/>
    <w:rPr>
      <w:rFonts w:cs="Times New Roman"/>
      <w:b/>
      <w:bCs/>
    </w:rPr>
  </w:style>
  <w:style w:type="character" w:styleId="FollowedHyperlink">
    <w:name w:val="FollowedHyperlink"/>
    <w:basedOn w:val="DefaultParagraphFont"/>
    <w:uiPriority w:val="99"/>
    <w:semiHidden/>
    <w:unhideWhenUsed/>
    <w:qFormat/>
    <w:rsid w:val="00bd144f"/>
    <w:rPr>
      <w:rFonts w:cs="Times New Roman"/>
      <w:color w:val="800080" w:themeColor="followedHyperlink"/>
      <w:u w:val="single"/>
    </w:rPr>
  </w:style>
  <w:style w:type="character" w:styleId="Style17" w:customStyle="1">
    <w:name w:val="副題 (文字)"/>
    <w:basedOn w:val="DefaultParagraphFont"/>
    <w:link w:val="af7"/>
    <w:uiPriority w:val="11"/>
    <w:qFormat/>
    <w:rsid w:val="00b54223"/>
    <w:rPr>
      <w:rFonts w:ascii="Cambria" w:hAnsi="Cambria" w:eastAsia="" w:cs="" w:asciiTheme="majorHAnsi" w:cstheme="majorBidi" w:eastAsiaTheme="majorEastAsia" w:hAnsiTheme="majorHAnsi"/>
      <w:i/>
      <w:iCs/>
      <w:color w:val="C6077B"/>
      <w:spacing w:val="15"/>
      <w:sz w:val="24"/>
      <w:szCs w:val="24"/>
    </w:rPr>
  </w:style>
  <w:style w:type="character" w:styleId="SubtleEmphasis">
    <w:name w:val="Subtle Emphasis"/>
    <w:basedOn w:val="DefaultParagraphFont"/>
    <w:uiPriority w:val="19"/>
    <w:qFormat/>
    <w:rsid w:val="00b54223"/>
    <w:rPr>
      <w:i/>
      <w:iCs/>
      <w:color w:val="808080" w:themeColor="text1" w:themeTint="7f"/>
    </w:rPr>
  </w:style>
  <w:style w:type="character" w:styleId="Emphasis">
    <w:name w:val="Emphasis"/>
    <w:basedOn w:val="DefaultParagraphFont"/>
    <w:uiPriority w:val="20"/>
    <w:qFormat/>
    <w:rsid w:val="00b54223"/>
    <w:rPr>
      <w:i/>
      <w:iCs/>
    </w:rPr>
  </w:style>
  <w:style w:type="character" w:styleId="IntenseEmphasis">
    <w:name w:val="Intense Emphasis"/>
    <w:basedOn w:val="DefaultParagraphFont"/>
    <w:uiPriority w:val="21"/>
    <w:qFormat/>
    <w:rsid w:val="00b54223"/>
    <w:rPr>
      <w:b/>
      <w:bCs/>
      <w:i/>
      <w:iCs/>
      <w:color w:val="C6077B"/>
    </w:rPr>
  </w:style>
  <w:style w:type="character" w:styleId="21" w:customStyle="1">
    <w:name w:val="引用文 2 (文字)"/>
    <w:basedOn w:val="DefaultParagraphFont"/>
    <w:link w:val="22"/>
    <w:uiPriority w:val="30"/>
    <w:qFormat/>
    <w:rsid w:val="00b54223"/>
    <w:rPr>
      <w:rFonts w:ascii="Arial" w:hAnsi="Arial" w:cs="Times New Roman"/>
      <w:b/>
      <w:bCs/>
      <w:i/>
      <w:iCs/>
      <w:color w:val="C6077B"/>
    </w:rPr>
  </w:style>
  <w:style w:type="character" w:styleId="SubtleReference">
    <w:name w:val="Subtle Reference"/>
    <w:uiPriority w:val="31"/>
    <w:qFormat/>
    <w:rsid w:val="00b54223"/>
    <w:rPr>
      <w:lang w:val="en-GB"/>
    </w:rPr>
  </w:style>
  <w:style w:type="character" w:styleId="IntenseReference">
    <w:name w:val="Intense Reference"/>
    <w:basedOn w:val="DefaultParagraphFont"/>
    <w:uiPriority w:val="32"/>
    <w:qFormat/>
    <w:rsid w:val="00b54223"/>
    <w:rPr>
      <w:b/>
      <w:bCs/>
      <w:smallCaps/>
      <w:color w:val="C6077B"/>
      <w:spacing w:val="5"/>
      <w:u w:val="single"/>
    </w:rPr>
  </w:style>
  <w:style w:type="character" w:styleId="BookTitle">
    <w:name w:val="Book Title"/>
    <w:basedOn w:val="DefaultParagraphFont"/>
    <w:uiPriority w:val="33"/>
    <w:qFormat/>
    <w:rsid w:val="00b54223"/>
    <w:rPr>
      <w:b/>
      <w:bCs/>
      <w:smallCaps/>
      <w:spacing w:val="5"/>
    </w:rPr>
  </w:style>
  <w:style w:type="character" w:styleId="Style18" w:customStyle="1">
    <w:name w:val="引用文 (文字)"/>
    <w:basedOn w:val="DefaultParagraphFont"/>
    <w:link w:val="afd"/>
    <w:uiPriority w:val="29"/>
    <w:qFormat/>
    <w:rsid w:val="003827c1"/>
    <w:rPr>
      <w:rFonts w:ascii="Arial" w:hAnsi="Arial" w:cs="Times New Roman"/>
      <w:i/>
      <w:iCs/>
      <w:color w:val="000000" w:themeColor="text1"/>
    </w:rPr>
  </w:style>
  <w:style w:type="character" w:styleId="ListLabel1">
    <w:name w:val="ListLabel 1"/>
    <w:qFormat/>
    <w:rPr>
      <w:rFonts w:cs="Times New Roman"/>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eastAsia="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eastAsia="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eastAsia="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eastAsia="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eastAsia="Times New Roman"/>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color w:val="00000A"/>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cs="Times New Roman"/>
    </w:rPr>
  </w:style>
  <w:style w:type="character" w:styleId="ListLabel73">
    <w:name w:val="ListLabel 73"/>
    <w:qFormat/>
    <w:rPr>
      <w:rFonts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Symbol"/>
      <w:color w:val="00000A"/>
    </w:rPr>
  </w:style>
  <w:style w:type="character" w:styleId="ListLabel82">
    <w:name w:val="ListLabel 82"/>
    <w:qFormat/>
    <w:rPr>
      <w:rFonts w:cs="Wingdings"/>
    </w:rPr>
  </w:style>
  <w:style w:type="character" w:styleId="ListLabel83">
    <w:name w:val="ListLabel 83"/>
    <w:qFormat/>
    <w:rPr>
      <w:rFonts w:cs="Wingdings"/>
    </w:rPr>
  </w:style>
  <w:style w:type="character" w:styleId="ListLabel84">
    <w:name w:val="ListLabel 84"/>
    <w:qFormat/>
    <w:rPr>
      <w:rFonts w:cs="Wingdings"/>
    </w:rPr>
  </w:style>
  <w:style w:type="character" w:styleId="ListLabel85">
    <w:name w:val="ListLabel 85"/>
    <w:qFormat/>
    <w:rPr>
      <w:rFonts w:cs="Wingdings"/>
    </w:rPr>
  </w:style>
  <w:style w:type="character" w:styleId="ListLabel86">
    <w:name w:val="ListLabel 86"/>
    <w:qFormat/>
    <w:rPr>
      <w:rFonts w:cs="Wingdings"/>
    </w:rPr>
  </w:style>
  <w:style w:type="character" w:styleId="ListLabel87">
    <w:name w:val="ListLabel 87"/>
    <w:qFormat/>
    <w:rPr>
      <w:rFonts w:cs="Wingdings"/>
    </w:rPr>
  </w:style>
  <w:style w:type="character" w:styleId="ListLabel88">
    <w:name w:val="ListLabel 88"/>
    <w:qFormat/>
    <w:rPr>
      <w:rFonts w:cs="Wingdings"/>
    </w:rPr>
  </w:style>
  <w:style w:type="character" w:styleId="ListLabel89">
    <w:name w:val="ListLabel 89"/>
    <w:qFormat/>
    <w:rPr>
      <w:rFonts w:cs="Wingdings"/>
    </w:rPr>
  </w:style>
  <w:style w:type="character" w:styleId="ListLabel90">
    <w:name w:val="ListLabel 90"/>
    <w:qFormat/>
    <w:rPr>
      <w:rFonts w:cs="Times New Roman"/>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Symbol"/>
      <w:color w:val="00000A"/>
    </w:rPr>
  </w:style>
  <w:style w:type="character" w:styleId="ListLabel103">
    <w:name w:val="ListLabel 103"/>
    <w:qFormat/>
    <w:rPr>
      <w:rFonts w:cs="Wingdings"/>
    </w:rPr>
  </w:style>
  <w:style w:type="character" w:styleId="ListLabel104">
    <w:name w:val="ListLabel 104"/>
    <w:qFormat/>
    <w:rPr>
      <w:rFonts w:cs="Wingdings"/>
    </w:rPr>
  </w:style>
  <w:style w:type="character" w:styleId="ListLabel105">
    <w:name w:val="ListLabel 105"/>
    <w:qFormat/>
    <w:rPr>
      <w:rFonts w:cs="Wingdings"/>
    </w:rPr>
  </w:style>
  <w:style w:type="character" w:styleId="ListLabel106">
    <w:name w:val="ListLabel 106"/>
    <w:qFormat/>
    <w:rPr>
      <w:rFonts w:cs="Wingdings"/>
    </w:rPr>
  </w:style>
  <w:style w:type="character" w:styleId="ListLabel107">
    <w:name w:val="ListLabel 107"/>
    <w:qFormat/>
    <w:rPr>
      <w:rFonts w:cs="Wingdings"/>
    </w:rPr>
  </w:style>
  <w:style w:type="character" w:styleId="ListLabel108">
    <w:name w:val="ListLabel 108"/>
    <w:qFormat/>
    <w:rPr>
      <w:rFonts w:cs="Wingdings"/>
    </w:rPr>
  </w:style>
  <w:style w:type="character" w:styleId="ListLabel109">
    <w:name w:val="ListLabel 109"/>
    <w:qFormat/>
    <w:rPr>
      <w:rFonts w:cs="Wingdings"/>
    </w:rPr>
  </w:style>
  <w:style w:type="character" w:styleId="ListLabel110">
    <w:name w:val="ListLabel 110"/>
    <w:qFormat/>
    <w:rPr>
      <w:rFonts w:cs="Wingdings"/>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cs="Times New Roman"/>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Symbol"/>
      <w:color w:val="00000A"/>
    </w:rPr>
  </w:style>
  <w:style w:type="character" w:styleId="ListLabel124">
    <w:name w:val="ListLabel 124"/>
    <w:qFormat/>
    <w:rPr>
      <w:rFonts w:cs="Wingdings"/>
    </w:rPr>
  </w:style>
  <w:style w:type="character" w:styleId="ListLabel125">
    <w:name w:val="ListLabel 125"/>
    <w:qFormat/>
    <w:rPr>
      <w:rFonts w:cs="Wingdings"/>
    </w:rPr>
  </w:style>
  <w:style w:type="character" w:styleId="ListLabel126">
    <w:name w:val="ListLabel 126"/>
    <w:qFormat/>
    <w:rPr>
      <w:rFonts w:cs="Wingdings"/>
    </w:rPr>
  </w:style>
  <w:style w:type="character" w:styleId="ListLabel127">
    <w:name w:val="ListLabel 127"/>
    <w:qFormat/>
    <w:rPr>
      <w:rFonts w:cs="Wingdings"/>
    </w:rPr>
  </w:style>
  <w:style w:type="character" w:styleId="ListLabel128">
    <w:name w:val="ListLabel 128"/>
    <w:qFormat/>
    <w:rPr>
      <w:rFonts w:cs="Wingdings"/>
    </w:rPr>
  </w:style>
  <w:style w:type="character" w:styleId="ListLabel129">
    <w:name w:val="ListLabel 129"/>
    <w:qFormat/>
    <w:rPr>
      <w:rFonts w:cs="Wingdings"/>
    </w:rPr>
  </w:style>
  <w:style w:type="character" w:styleId="ListLabel130">
    <w:name w:val="ListLabel 130"/>
    <w:qFormat/>
    <w:rPr>
      <w:rFonts w:cs="Wingdings"/>
    </w:rPr>
  </w:style>
  <w:style w:type="character" w:styleId="ListLabel131">
    <w:name w:val="ListLabel 131"/>
    <w:qFormat/>
    <w:rPr>
      <w:rFonts w:cs="Wingdings"/>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cs="Times New Roman"/>
    </w:rPr>
  </w:style>
  <w:style w:type="character" w:styleId="ListLabel136">
    <w:name w:val="ListLabel 136"/>
    <w:qFormat/>
    <w:rPr>
      <w:rFonts w:cs="Times New Roman"/>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Symbol"/>
      <w:color w:val="00000A"/>
    </w:rPr>
  </w:style>
  <w:style w:type="character" w:styleId="ListLabel145">
    <w:name w:val="ListLabel 145"/>
    <w:qFormat/>
    <w:rPr>
      <w:rFonts w:cs="Wingdings"/>
    </w:rPr>
  </w:style>
  <w:style w:type="character" w:styleId="ListLabel146">
    <w:name w:val="ListLabel 146"/>
    <w:qFormat/>
    <w:rPr>
      <w:rFonts w:cs="Wingdings"/>
    </w:rPr>
  </w:style>
  <w:style w:type="character" w:styleId="ListLabel147">
    <w:name w:val="ListLabel 147"/>
    <w:qFormat/>
    <w:rPr>
      <w:rFonts w:cs="Wingdings"/>
    </w:rPr>
  </w:style>
  <w:style w:type="character" w:styleId="ListLabel148">
    <w:name w:val="ListLabel 148"/>
    <w:qFormat/>
    <w:rPr>
      <w:rFonts w:cs="Wingdings"/>
    </w:rPr>
  </w:style>
  <w:style w:type="character" w:styleId="ListLabel149">
    <w:name w:val="ListLabel 149"/>
    <w:qFormat/>
    <w:rPr>
      <w:rFonts w:cs="Wingdings"/>
    </w:rPr>
  </w:style>
  <w:style w:type="character" w:styleId="ListLabel150">
    <w:name w:val="ListLabel 150"/>
    <w:qFormat/>
    <w:rPr>
      <w:rFonts w:cs="Wingdings"/>
    </w:rPr>
  </w:style>
  <w:style w:type="character" w:styleId="ListLabel151">
    <w:name w:val="ListLabel 151"/>
    <w:qFormat/>
    <w:rPr>
      <w:rFonts w:cs="Wingdings"/>
    </w:rPr>
  </w:style>
  <w:style w:type="character" w:styleId="ListLabel152">
    <w:name w:val="ListLabel 152"/>
    <w:qFormat/>
    <w:rPr>
      <w:rFonts w:cs="Wingdings"/>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cs="Times New Roman"/>
    </w:rPr>
  </w:style>
  <w:style w:type="character" w:styleId="ListLabel164">
    <w:name w:val="ListLabel 164"/>
    <w:qFormat/>
    <w:rPr>
      <w:rFonts w:cs="Times New Roman"/>
    </w:rPr>
  </w:style>
  <w:style w:type="character" w:styleId="ListLabel165">
    <w:name w:val="ListLabel 165"/>
    <w:qFormat/>
    <w:rPr>
      <w:rFonts w:cs="Symbol"/>
      <w:color w:val="00000A"/>
    </w:rPr>
  </w:style>
  <w:style w:type="character" w:styleId="ListLabel166">
    <w:name w:val="ListLabel 166"/>
    <w:qFormat/>
    <w:rPr>
      <w:rFonts w:cs="Wingdings"/>
    </w:rPr>
  </w:style>
  <w:style w:type="character" w:styleId="ListLabel167">
    <w:name w:val="ListLabel 167"/>
    <w:qFormat/>
    <w:rPr>
      <w:rFonts w:cs="Wingdings"/>
    </w:rPr>
  </w:style>
  <w:style w:type="character" w:styleId="ListLabel168">
    <w:name w:val="ListLabel 168"/>
    <w:qFormat/>
    <w:rPr>
      <w:rFonts w:cs="Wingdings"/>
    </w:rPr>
  </w:style>
  <w:style w:type="character" w:styleId="ListLabel169">
    <w:name w:val="ListLabel 169"/>
    <w:qFormat/>
    <w:rPr>
      <w:rFonts w:cs="Wingdings"/>
    </w:rPr>
  </w:style>
  <w:style w:type="character" w:styleId="ListLabel170">
    <w:name w:val="ListLabel 170"/>
    <w:qFormat/>
    <w:rPr>
      <w:rFonts w:cs="Wingdings"/>
    </w:rPr>
  </w:style>
  <w:style w:type="character" w:styleId="ListLabel171">
    <w:name w:val="ListLabel 171"/>
    <w:qFormat/>
    <w:rPr>
      <w:rFonts w:cs="Wingdings"/>
    </w:rPr>
  </w:style>
  <w:style w:type="character" w:styleId="ListLabel172">
    <w:name w:val="ListLabel 172"/>
    <w:qFormat/>
    <w:rPr>
      <w:rFonts w:cs="Wingdings"/>
    </w:rPr>
  </w:style>
  <w:style w:type="character" w:styleId="ListLabel173">
    <w:name w:val="ListLabel 173"/>
    <w:qFormat/>
    <w:rPr>
      <w:rFonts w:cs="Wingdings"/>
    </w:rPr>
  </w:style>
  <w:style w:type="character" w:styleId="NumberingSymbols">
    <w:name w:val="Numbering Symbols"/>
    <w:qFormat/>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cs="Times New Roman"/>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Symbol"/>
      <w:color w:val="00000A"/>
    </w:rPr>
  </w:style>
  <w:style w:type="character" w:styleId="ListLabel187">
    <w:name w:val="ListLabel 187"/>
    <w:qFormat/>
    <w:rPr>
      <w:rFonts w:cs="Wingdings"/>
    </w:rPr>
  </w:style>
  <w:style w:type="character" w:styleId="ListLabel188">
    <w:name w:val="ListLabel 188"/>
    <w:qFormat/>
    <w:rPr>
      <w:rFonts w:cs="Wingdings"/>
    </w:rPr>
  </w:style>
  <w:style w:type="character" w:styleId="ListLabel189">
    <w:name w:val="ListLabel 189"/>
    <w:qFormat/>
    <w:rPr>
      <w:rFonts w:cs="Wingdings"/>
    </w:rPr>
  </w:style>
  <w:style w:type="character" w:styleId="ListLabel190">
    <w:name w:val="ListLabel 190"/>
    <w:qFormat/>
    <w:rPr>
      <w:rFonts w:cs="Wingdings"/>
    </w:rPr>
  </w:style>
  <w:style w:type="character" w:styleId="ListLabel191">
    <w:name w:val="ListLabel 191"/>
    <w:qFormat/>
    <w:rPr>
      <w:rFonts w:cs="Wingdings"/>
    </w:rPr>
  </w:style>
  <w:style w:type="character" w:styleId="ListLabel192">
    <w:name w:val="ListLabel 192"/>
    <w:qFormat/>
    <w:rPr>
      <w:rFonts w:cs="Wingdings"/>
    </w:rPr>
  </w:style>
  <w:style w:type="character" w:styleId="ListLabel193">
    <w:name w:val="ListLabel 193"/>
    <w:qFormat/>
    <w:rPr>
      <w:rFonts w:cs="Wingdings"/>
    </w:rPr>
  </w:style>
  <w:style w:type="character" w:styleId="ListLabel194">
    <w:name w:val="ListLabel 194"/>
    <w:qFormat/>
    <w:rPr>
      <w:rFonts w:cs="Wingdings"/>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cs="Times New Roman"/>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Symbol"/>
      <w:color w:val="00000A"/>
    </w:rPr>
  </w:style>
  <w:style w:type="character" w:styleId="ListLabel208">
    <w:name w:val="ListLabel 208"/>
    <w:qFormat/>
    <w:rPr>
      <w:rFonts w:cs="Wingdings"/>
    </w:rPr>
  </w:style>
  <w:style w:type="character" w:styleId="ListLabel209">
    <w:name w:val="ListLabel 209"/>
    <w:qFormat/>
    <w:rPr>
      <w:rFonts w:cs="Wingdings"/>
    </w:rPr>
  </w:style>
  <w:style w:type="character" w:styleId="ListLabel210">
    <w:name w:val="ListLabel 210"/>
    <w:qFormat/>
    <w:rPr>
      <w:rFonts w:cs="Wingdings"/>
    </w:rPr>
  </w:style>
  <w:style w:type="character" w:styleId="ListLabel211">
    <w:name w:val="ListLabel 211"/>
    <w:qFormat/>
    <w:rPr>
      <w:rFonts w:cs="Wingdings"/>
    </w:rPr>
  </w:style>
  <w:style w:type="character" w:styleId="ListLabel212">
    <w:name w:val="ListLabel 212"/>
    <w:qFormat/>
    <w:rPr>
      <w:rFonts w:cs="Wingdings"/>
    </w:rPr>
  </w:style>
  <w:style w:type="character" w:styleId="ListLabel213">
    <w:name w:val="ListLabel 213"/>
    <w:qFormat/>
    <w:rPr>
      <w:rFonts w:cs="Wingdings"/>
    </w:rPr>
  </w:style>
  <w:style w:type="character" w:styleId="ListLabel214">
    <w:name w:val="ListLabel 214"/>
    <w:qFormat/>
    <w:rPr>
      <w:rFonts w:cs="Wingdings"/>
    </w:rPr>
  </w:style>
  <w:style w:type="character" w:styleId="ListLabel215">
    <w:name w:val="ListLabel 215"/>
    <w:qFormat/>
    <w:rPr>
      <w:rFonts w:cs="Wingdings"/>
    </w:rPr>
  </w:style>
  <w:style w:type="character" w:styleId="ListLabel216">
    <w:name w:val="ListLabel 216"/>
    <w:qFormat/>
    <w:rPr>
      <w:rFonts w:cs="Times New Roman"/>
    </w:rPr>
  </w:style>
  <w:style w:type="character" w:styleId="ListLabel217">
    <w:name w:val="ListLabel 217"/>
    <w:qFormat/>
    <w:rPr>
      <w:rFonts w:cs="Times New Roman"/>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cs="Times New Roman"/>
    </w:rPr>
  </w:style>
  <w:style w:type="character" w:styleId="ListLabel227">
    <w:name w:val="ListLabel 227"/>
    <w:qFormat/>
    <w:rPr>
      <w:rFonts w:cs="Times New Roman"/>
    </w:rPr>
  </w:style>
  <w:style w:type="character" w:styleId="ListLabel228">
    <w:name w:val="ListLabel 228"/>
    <w:qFormat/>
    <w:rPr>
      <w:rFonts w:cs="Symbol"/>
      <w:color w:val="00000A"/>
    </w:rPr>
  </w:style>
  <w:style w:type="character" w:styleId="ListLabel229">
    <w:name w:val="ListLabel 229"/>
    <w:qFormat/>
    <w:rPr>
      <w:rFonts w:cs="Wingdings"/>
    </w:rPr>
  </w:style>
  <w:style w:type="character" w:styleId="ListLabel230">
    <w:name w:val="ListLabel 230"/>
    <w:qFormat/>
    <w:rPr>
      <w:rFonts w:cs="Wingdings"/>
    </w:rPr>
  </w:style>
  <w:style w:type="character" w:styleId="ListLabel231">
    <w:name w:val="ListLabel 231"/>
    <w:qFormat/>
    <w:rPr>
      <w:rFonts w:cs="Wingdings"/>
    </w:rPr>
  </w:style>
  <w:style w:type="character" w:styleId="ListLabel232">
    <w:name w:val="ListLabel 232"/>
    <w:qFormat/>
    <w:rPr>
      <w:rFonts w:cs="Wingdings"/>
    </w:rPr>
  </w:style>
  <w:style w:type="character" w:styleId="ListLabel233">
    <w:name w:val="ListLabel 233"/>
    <w:qFormat/>
    <w:rPr>
      <w:rFonts w:cs="Wingdings"/>
    </w:rPr>
  </w:style>
  <w:style w:type="character" w:styleId="ListLabel234">
    <w:name w:val="ListLabel 234"/>
    <w:qFormat/>
    <w:rPr>
      <w:rFonts w:cs="Wingdings"/>
    </w:rPr>
  </w:style>
  <w:style w:type="character" w:styleId="ListLabel235">
    <w:name w:val="ListLabel 235"/>
    <w:qFormat/>
    <w:rPr>
      <w:rFonts w:cs="Wingdings"/>
    </w:rPr>
  </w:style>
  <w:style w:type="character" w:styleId="ListLabel236">
    <w:name w:val="ListLabel 236"/>
    <w:qFormat/>
    <w:rPr>
      <w:rFonts w:cs="Wingdings"/>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cs="Times New Roman"/>
    </w:rPr>
  </w:style>
  <w:style w:type="character" w:styleId="ListLabel243">
    <w:name w:val="ListLabel 243"/>
    <w:qFormat/>
    <w:rPr>
      <w:rFonts w:cs="Times New Roman"/>
    </w:rPr>
  </w:style>
  <w:style w:type="character" w:styleId="ListLabel244">
    <w:name w:val="ListLabel 244"/>
    <w:qFormat/>
    <w:rPr>
      <w:rFonts w:cs="Times New Roman"/>
    </w:rPr>
  </w:style>
  <w:style w:type="character" w:styleId="ListLabel245">
    <w:name w:val="ListLabel 245"/>
    <w:qFormat/>
    <w:rPr>
      <w:rFonts w:cs="Times New Roman"/>
    </w:rPr>
  </w:style>
  <w:style w:type="character" w:styleId="ListLabel246">
    <w:name w:val="ListLabel 246"/>
    <w:qFormat/>
    <w:rPr>
      <w:rFonts w:cs="Times New Roman"/>
    </w:rPr>
  </w:style>
  <w:style w:type="character" w:styleId="ListLabel247">
    <w:name w:val="ListLabel 247"/>
    <w:qFormat/>
    <w:rPr>
      <w:rFonts w:cs="Times New Roman"/>
    </w:rPr>
  </w:style>
  <w:style w:type="character" w:styleId="ListLabel248">
    <w:name w:val="ListLabel 248"/>
    <w:qFormat/>
    <w:rPr>
      <w:rFonts w:cs="Times New Roman"/>
    </w:rPr>
  </w:style>
  <w:style w:type="character" w:styleId="ListLabel249">
    <w:name w:val="ListLabel 249"/>
    <w:qFormat/>
    <w:rPr>
      <w:rFonts w:cs="Symbol"/>
      <w:color w:val="00000A"/>
    </w:rPr>
  </w:style>
  <w:style w:type="character" w:styleId="ListLabel250">
    <w:name w:val="ListLabel 250"/>
    <w:qFormat/>
    <w:rPr>
      <w:rFonts w:cs="Wingdings"/>
    </w:rPr>
  </w:style>
  <w:style w:type="character" w:styleId="ListLabel251">
    <w:name w:val="ListLabel 251"/>
    <w:qFormat/>
    <w:rPr>
      <w:rFonts w:cs="Wingdings"/>
    </w:rPr>
  </w:style>
  <w:style w:type="character" w:styleId="ListLabel252">
    <w:name w:val="ListLabel 252"/>
    <w:qFormat/>
    <w:rPr>
      <w:rFonts w:cs="Wingdings"/>
    </w:rPr>
  </w:style>
  <w:style w:type="character" w:styleId="ListLabel253">
    <w:name w:val="ListLabel 253"/>
    <w:qFormat/>
    <w:rPr>
      <w:rFonts w:cs="Wingdings"/>
    </w:rPr>
  </w:style>
  <w:style w:type="character" w:styleId="ListLabel254">
    <w:name w:val="ListLabel 254"/>
    <w:qFormat/>
    <w:rPr>
      <w:rFonts w:cs="Wingdings"/>
    </w:rPr>
  </w:style>
  <w:style w:type="character" w:styleId="ListLabel255">
    <w:name w:val="ListLabel 255"/>
    <w:qFormat/>
    <w:rPr>
      <w:rFonts w:cs="Wingdings"/>
    </w:rPr>
  </w:style>
  <w:style w:type="character" w:styleId="ListLabel256">
    <w:name w:val="ListLabel 256"/>
    <w:qFormat/>
    <w:rPr>
      <w:rFonts w:cs="Wingdings"/>
    </w:rPr>
  </w:style>
  <w:style w:type="character" w:styleId="ListLabel257">
    <w:name w:val="ListLabel 257"/>
    <w:qFormat/>
    <w:rPr>
      <w:rFonts w:cs="Wingdings"/>
    </w:rPr>
  </w:style>
  <w:style w:type="character" w:styleId="ListLabel258">
    <w:name w:val="ListLabel 258"/>
    <w:qFormat/>
    <w:rPr>
      <w:rFonts w:cs="Times New Roman"/>
    </w:rPr>
  </w:style>
  <w:style w:type="character" w:styleId="ListLabel259">
    <w:name w:val="ListLabel 259"/>
    <w:qFormat/>
    <w:rPr>
      <w:rFonts w:cs="Times New Roman"/>
    </w:rPr>
  </w:style>
  <w:style w:type="character" w:styleId="ListLabel260">
    <w:name w:val="ListLabel 260"/>
    <w:qFormat/>
    <w:rPr>
      <w:rFonts w:cs="Times New Roman"/>
    </w:rPr>
  </w:style>
  <w:style w:type="character" w:styleId="ListLabel261">
    <w:name w:val="ListLabel 261"/>
    <w:qFormat/>
    <w:rPr>
      <w:rFonts w:cs="Times New Roman"/>
    </w:rPr>
  </w:style>
  <w:style w:type="character" w:styleId="ListLabel262">
    <w:name w:val="ListLabel 262"/>
    <w:qFormat/>
    <w:rPr>
      <w:rFonts w:cs="Times New Roman"/>
    </w:rPr>
  </w:style>
  <w:style w:type="character" w:styleId="ListLabel263">
    <w:name w:val="ListLabel 263"/>
    <w:qFormat/>
    <w:rPr>
      <w:rFonts w:cs="Times New Roman"/>
    </w:rPr>
  </w:style>
  <w:style w:type="character" w:styleId="ListLabel264">
    <w:name w:val="ListLabel 264"/>
    <w:qFormat/>
    <w:rPr>
      <w:rFonts w:cs="Times New Roman"/>
    </w:rPr>
  </w:style>
  <w:style w:type="character" w:styleId="ListLabel265">
    <w:name w:val="ListLabel 265"/>
    <w:qFormat/>
    <w:rPr>
      <w:rFonts w:cs="Times New Roman"/>
    </w:rPr>
  </w:style>
  <w:style w:type="character" w:styleId="ListLabel266">
    <w:name w:val="ListLabel 266"/>
    <w:qFormat/>
    <w:rPr>
      <w:rFonts w:cs="Times New Roman"/>
    </w:rPr>
  </w:style>
  <w:style w:type="character" w:styleId="ListLabel267">
    <w:name w:val="ListLabel 267"/>
    <w:qFormat/>
    <w:rPr>
      <w:rFonts w:cs="Times New Roman"/>
    </w:rPr>
  </w:style>
  <w:style w:type="character" w:styleId="ListLabel268">
    <w:name w:val="ListLabel 268"/>
    <w:qFormat/>
    <w:rPr>
      <w:rFonts w:cs="Times New Roman"/>
    </w:rPr>
  </w:style>
  <w:style w:type="character" w:styleId="ListLabel269">
    <w:name w:val="ListLabel 269"/>
    <w:qFormat/>
    <w:rPr>
      <w:rFonts w:cs="Times New Roman"/>
    </w:rPr>
  </w:style>
  <w:style w:type="character" w:styleId="ListLabel270">
    <w:name w:val="ListLabel 270"/>
    <w:qFormat/>
    <w:rPr>
      <w:rFonts w:cs="Symbol"/>
      <w:color w:val="00000A"/>
    </w:rPr>
  </w:style>
  <w:style w:type="character" w:styleId="ListLabel271">
    <w:name w:val="ListLabel 271"/>
    <w:qFormat/>
    <w:rPr>
      <w:rFonts w:cs="Wingdings"/>
    </w:rPr>
  </w:style>
  <w:style w:type="character" w:styleId="ListLabel272">
    <w:name w:val="ListLabel 272"/>
    <w:qFormat/>
    <w:rPr>
      <w:rFonts w:cs="Wingdings"/>
    </w:rPr>
  </w:style>
  <w:style w:type="character" w:styleId="ListLabel273">
    <w:name w:val="ListLabel 273"/>
    <w:qFormat/>
    <w:rPr>
      <w:rFonts w:cs="Wingdings"/>
    </w:rPr>
  </w:style>
  <w:style w:type="character" w:styleId="ListLabel274">
    <w:name w:val="ListLabel 274"/>
    <w:qFormat/>
    <w:rPr>
      <w:rFonts w:cs="Wingdings"/>
    </w:rPr>
  </w:style>
  <w:style w:type="character" w:styleId="ListLabel275">
    <w:name w:val="ListLabel 275"/>
    <w:qFormat/>
    <w:rPr>
      <w:rFonts w:cs="Wingdings"/>
    </w:rPr>
  </w:style>
  <w:style w:type="character" w:styleId="ListLabel276">
    <w:name w:val="ListLabel 276"/>
    <w:qFormat/>
    <w:rPr>
      <w:rFonts w:cs="Wingdings"/>
    </w:rPr>
  </w:style>
  <w:style w:type="character" w:styleId="ListLabel277">
    <w:name w:val="ListLabel 277"/>
    <w:qFormat/>
    <w:rPr>
      <w:rFonts w:cs="Wingdings"/>
    </w:rPr>
  </w:style>
  <w:style w:type="character" w:styleId="ListLabel278">
    <w:name w:val="ListLabel 278"/>
    <w:qFormat/>
    <w:rPr>
      <w:rFonts w:cs="Wingdings"/>
    </w:rPr>
  </w:style>
  <w:style w:type="character" w:styleId="Bullets">
    <w:name w:val="Bullets"/>
    <w:qFormat/>
    <w:rPr>
      <w:rFonts w:ascii="OpenSymbol" w:hAnsi="OpenSymbol" w:eastAsia="OpenSymbol" w:cs="OpenSymbol"/>
    </w:rPr>
  </w:style>
  <w:style w:type="character" w:styleId="ListLabel279">
    <w:name w:val="ListLabel 279"/>
    <w:qFormat/>
    <w:rPr>
      <w:rFonts w:cs="Times New Roman"/>
    </w:rPr>
  </w:style>
  <w:style w:type="character" w:styleId="ListLabel280">
    <w:name w:val="ListLabel 280"/>
    <w:qFormat/>
    <w:rPr>
      <w:rFonts w:cs="Times New Roman"/>
    </w:rPr>
  </w:style>
  <w:style w:type="character" w:styleId="ListLabel281">
    <w:name w:val="ListLabel 281"/>
    <w:qFormat/>
    <w:rPr>
      <w:rFonts w:cs="Times New Roman"/>
    </w:rPr>
  </w:style>
  <w:style w:type="character" w:styleId="ListLabel282">
    <w:name w:val="ListLabel 282"/>
    <w:qFormat/>
    <w:rPr>
      <w:rFonts w:cs="Times New Roman"/>
    </w:rPr>
  </w:style>
  <w:style w:type="character" w:styleId="ListLabel283">
    <w:name w:val="ListLabel 283"/>
    <w:qFormat/>
    <w:rPr>
      <w:rFonts w:cs="Times New Roman"/>
    </w:rPr>
  </w:style>
  <w:style w:type="character" w:styleId="ListLabel284">
    <w:name w:val="ListLabel 284"/>
    <w:qFormat/>
    <w:rPr>
      <w:rFonts w:cs="Times New Roman"/>
    </w:rPr>
  </w:style>
  <w:style w:type="character" w:styleId="ListLabel285">
    <w:name w:val="ListLabel 285"/>
    <w:qFormat/>
    <w:rPr>
      <w:rFonts w:cs="Times New Roman"/>
    </w:rPr>
  </w:style>
  <w:style w:type="character" w:styleId="ListLabel286">
    <w:name w:val="ListLabel 286"/>
    <w:qFormat/>
    <w:rPr>
      <w:rFonts w:cs="Times New Roman"/>
    </w:rPr>
  </w:style>
  <w:style w:type="character" w:styleId="ListLabel287">
    <w:name w:val="ListLabel 287"/>
    <w:qFormat/>
    <w:rPr>
      <w:rFonts w:cs="Times New Roman"/>
    </w:rPr>
  </w:style>
  <w:style w:type="character" w:styleId="ListLabel288">
    <w:name w:val="ListLabel 288"/>
    <w:qFormat/>
    <w:rPr>
      <w:rFonts w:cs="Times New Roman"/>
    </w:rPr>
  </w:style>
  <w:style w:type="character" w:styleId="ListLabel289">
    <w:name w:val="ListLabel 289"/>
    <w:qFormat/>
    <w:rPr>
      <w:rFonts w:cs="Times New Roman"/>
    </w:rPr>
  </w:style>
  <w:style w:type="character" w:styleId="ListLabel290">
    <w:name w:val="ListLabel 290"/>
    <w:qFormat/>
    <w:rPr>
      <w:rFonts w:cs="Times New Roman"/>
    </w:rPr>
  </w:style>
  <w:style w:type="character" w:styleId="ListLabel291">
    <w:name w:val="ListLabel 291"/>
    <w:qFormat/>
    <w:rPr>
      <w:rFonts w:cs="Symbol"/>
      <w:color w:val="00000A"/>
    </w:rPr>
  </w:style>
  <w:style w:type="character" w:styleId="ListLabel292">
    <w:name w:val="ListLabel 292"/>
    <w:qFormat/>
    <w:rPr>
      <w:rFonts w:cs="Wingdings"/>
    </w:rPr>
  </w:style>
  <w:style w:type="character" w:styleId="ListLabel293">
    <w:name w:val="ListLabel 293"/>
    <w:qFormat/>
    <w:rPr>
      <w:rFonts w:cs="Wingdings"/>
    </w:rPr>
  </w:style>
  <w:style w:type="character" w:styleId="ListLabel294">
    <w:name w:val="ListLabel 294"/>
    <w:qFormat/>
    <w:rPr>
      <w:rFonts w:cs="Wingdings"/>
    </w:rPr>
  </w:style>
  <w:style w:type="character" w:styleId="ListLabel295">
    <w:name w:val="ListLabel 295"/>
    <w:qFormat/>
    <w:rPr>
      <w:rFonts w:cs="Wingdings"/>
    </w:rPr>
  </w:style>
  <w:style w:type="character" w:styleId="ListLabel296">
    <w:name w:val="ListLabel 296"/>
    <w:qFormat/>
    <w:rPr>
      <w:rFonts w:cs="Wingdings"/>
    </w:rPr>
  </w:style>
  <w:style w:type="character" w:styleId="ListLabel297">
    <w:name w:val="ListLabel 297"/>
    <w:qFormat/>
    <w:rPr>
      <w:rFonts w:cs="Wingdings"/>
    </w:rPr>
  </w:style>
  <w:style w:type="character" w:styleId="ListLabel298">
    <w:name w:val="ListLabel 298"/>
    <w:qFormat/>
    <w:rPr>
      <w:rFonts w:cs="Wingdings"/>
    </w:rPr>
  </w:style>
  <w:style w:type="character" w:styleId="ListLabel299">
    <w:name w:val="ListLabel 299"/>
    <w:qFormat/>
    <w:rPr>
      <w:rFonts w:cs="Wingdings"/>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Times New Roman"/>
    </w:rPr>
  </w:style>
  <w:style w:type="character" w:styleId="ListLabel310">
    <w:name w:val="ListLabel 310"/>
    <w:qFormat/>
    <w:rPr>
      <w:rFonts w:cs="Times New Roman"/>
    </w:rPr>
  </w:style>
  <w:style w:type="character" w:styleId="ListLabel311">
    <w:name w:val="ListLabel 311"/>
    <w:qFormat/>
    <w:rPr>
      <w:rFonts w:cs="Times New Roman"/>
    </w:rPr>
  </w:style>
  <w:style w:type="character" w:styleId="ListLabel312">
    <w:name w:val="ListLabel 312"/>
    <w:qFormat/>
    <w:rPr>
      <w:rFonts w:cs="Times New Roman"/>
    </w:rPr>
  </w:style>
  <w:style w:type="character" w:styleId="ListLabel313">
    <w:name w:val="ListLabel 313"/>
    <w:qFormat/>
    <w:rPr>
      <w:rFonts w:cs="Times New Roman"/>
    </w:rPr>
  </w:style>
  <w:style w:type="character" w:styleId="ListLabel314">
    <w:name w:val="ListLabel 314"/>
    <w:qFormat/>
    <w:rPr>
      <w:rFonts w:cs="Times New Roman"/>
    </w:rPr>
  </w:style>
  <w:style w:type="character" w:styleId="ListLabel315">
    <w:name w:val="ListLabel 315"/>
    <w:qFormat/>
    <w:rPr>
      <w:rFonts w:cs="Times New Roman"/>
    </w:rPr>
  </w:style>
  <w:style w:type="character" w:styleId="ListLabel316">
    <w:name w:val="ListLabel 316"/>
    <w:qFormat/>
    <w:rPr>
      <w:rFonts w:cs="Times New Roman"/>
    </w:rPr>
  </w:style>
  <w:style w:type="character" w:styleId="ListLabel317">
    <w:name w:val="ListLabel 317"/>
    <w:qFormat/>
    <w:rPr>
      <w:rFonts w:cs="Times New Roman"/>
    </w:rPr>
  </w:style>
  <w:style w:type="character" w:styleId="ListLabel318">
    <w:name w:val="ListLabel 318"/>
    <w:qFormat/>
    <w:rPr>
      <w:rFonts w:cs="Times New Roman"/>
    </w:rPr>
  </w:style>
  <w:style w:type="character" w:styleId="ListLabel319">
    <w:name w:val="ListLabel 319"/>
    <w:qFormat/>
    <w:rPr>
      <w:rFonts w:cs="Times New Roman"/>
    </w:rPr>
  </w:style>
  <w:style w:type="character" w:styleId="ListLabel320">
    <w:name w:val="ListLabel 320"/>
    <w:qFormat/>
    <w:rPr>
      <w:rFonts w:cs="Times New Roman"/>
    </w:rPr>
  </w:style>
  <w:style w:type="character" w:styleId="ListLabel321">
    <w:name w:val="ListLabel 321"/>
    <w:qFormat/>
    <w:rPr>
      <w:rFonts w:cs="Symbol"/>
      <w:color w:val="00000A"/>
    </w:rPr>
  </w:style>
  <w:style w:type="character" w:styleId="ListLabel322">
    <w:name w:val="ListLabel 322"/>
    <w:qFormat/>
    <w:rPr>
      <w:rFonts w:cs="Wingdings"/>
    </w:rPr>
  </w:style>
  <w:style w:type="character" w:styleId="ListLabel323">
    <w:name w:val="ListLabel 323"/>
    <w:qFormat/>
    <w:rPr>
      <w:rFonts w:cs="Wingdings"/>
    </w:rPr>
  </w:style>
  <w:style w:type="character" w:styleId="ListLabel324">
    <w:name w:val="ListLabel 324"/>
    <w:qFormat/>
    <w:rPr>
      <w:rFonts w:cs="Wingdings"/>
    </w:rPr>
  </w:style>
  <w:style w:type="character" w:styleId="ListLabel325">
    <w:name w:val="ListLabel 325"/>
    <w:qFormat/>
    <w:rPr>
      <w:rFonts w:cs="Wingdings"/>
    </w:rPr>
  </w:style>
  <w:style w:type="character" w:styleId="ListLabel326">
    <w:name w:val="ListLabel 326"/>
    <w:qFormat/>
    <w:rPr>
      <w:rFonts w:cs="Wingdings"/>
    </w:rPr>
  </w:style>
  <w:style w:type="character" w:styleId="ListLabel327">
    <w:name w:val="ListLabel 327"/>
    <w:qFormat/>
    <w:rPr>
      <w:rFonts w:cs="Wingdings"/>
    </w:rPr>
  </w:style>
  <w:style w:type="character" w:styleId="ListLabel328">
    <w:name w:val="ListLabel 328"/>
    <w:qFormat/>
    <w:rPr>
      <w:rFonts w:cs="Wingdings"/>
    </w:rPr>
  </w:style>
  <w:style w:type="character" w:styleId="ListLabel329">
    <w:name w:val="ListLabel 329"/>
    <w:qFormat/>
    <w:rPr>
      <w:rFonts w:cs="Wingdings"/>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Times New Roman"/>
    </w:rPr>
  </w:style>
  <w:style w:type="character" w:styleId="ListLabel340">
    <w:name w:val="ListLabel 340"/>
    <w:qFormat/>
    <w:rPr>
      <w:rFonts w:cs="Times New Roman"/>
    </w:rPr>
  </w:style>
  <w:style w:type="character" w:styleId="ListLabel341">
    <w:name w:val="ListLabel 341"/>
    <w:qFormat/>
    <w:rPr>
      <w:rFonts w:cs="Times New Roman"/>
    </w:rPr>
  </w:style>
  <w:style w:type="character" w:styleId="ListLabel342">
    <w:name w:val="ListLabel 342"/>
    <w:qFormat/>
    <w:rPr>
      <w:rFonts w:cs="Times New Roman"/>
    </w:rPr>
  </w:style>
  <w:style w:type="character" w:styleId="ListLabel343">
    <w:name w:val="ListLabel 343"/>
    <w:qFormat/>
    <w:rPr>
      <w:rFonts w:cs="Times New Roman"/>
    </w:rPr>
  </w:style>
  <w:style w:type="character" w:styleId="ListLabel344">
    <w:name w:val="ListLabel 344"/>
    <w:qFormat/>
    <w:rPr>
      <w:rFonts w:cs="Times New Roman"/>
    </w:rPr>
  </w:style>
  <w:style w:type="character" w:styleId="ListLabel345">
    <w:name w:val="ListLabel 345"/>
    <w:qFormat/>
    <w:rPr>
      <w:rFonts w:cs="Times New Roman"/>
    </w:rPr>
  </w:style>
  <w:style w:type="character" w:styleId="ListLabel346">
    <w:name w:val="ListLabel 346"/>
    <w:qFormat/>
    <w:rPr>
      <w:rFonts w:cs="Times New Roman"/>
    </w:rPr>
  </w:style>
  <w:style w:type="character" w:styleId="ListLabel347">
    <w:name w:val="ListLabel 347"/>
    <w:qFormat/>
    <w:rPr>
      <w:rFonts w:cs="Times New Roman"/>
    </w:rPr>
  </w:style>
  <w:style w:type="character" w:styleId="ListLabel348">
    <w:name w:val="ListLabel 348"/>
    <w:qFormat/>
    <w:rPr>
      <w:rFonts w:cs="Times New Roman"/>
    </w:rPr>
  </w:style>
  <w:style w:type="character" w:styleId="ListLabel349">
    <w:name w:val="ListLabel 349"/>
    <w:qFormat/>
    <w:rPr>
      <w:rFonts w:cs="Times New Roman"/>
    </w:rPr>
  </w:style>
  <w:style w:type="character" w:styleId="ListLabel350">
    <w:name w:val="ListLabel 350"/>
    <w:qFormat/>
    <w:rPr>
      <w:rFonts w:cs="Times New Roman"/>
    </w:rPr>
  </w:style>
  <w:style w:type="character" w:styleId="ListLabel351">
    <w:name w:val="ListLabel 351"/>
    <w:qFormat/>
    <w:rPr>
      <w:rFonts w:cs="Symbol"/>
      <w:color w:val="00000A"/>
    </w:rPr>
  </w:style>
  <w:style w:type="character" w:styleId="ListLabel352">
    <w:name w:val="ListLabel 352"/>
    <w:qFormat/>
    <w:rPr>
      <w:rFonts w:cs="Wingdings"/>
    </w:rPr>
  </w:style>
  <w:style w:type="character" w:styleId="ListLabel353">
    <w:name w:val="ListLabel 353"/>
    <w:qFormat/>
    <w:rPr>
      <w:rFonts w:cs="Wingdings"/>
    </w:rPr>
  </w:style>
  <w:style w:type="character" w:styleId="ListLabel354">
    <w:name w:val="ListLabel 354"/>
    <w:qFormat/>
    <w:rPr>
      <w:rFonts w:cs="Wingdings"/>
    </w:rPr>
  </w:style>
  <w:style w:type="character" w:styleId="ListLabel355">
    <w:name w:val="ListLabel 355"/>
    <w:qFormat/>
    <w:rPr>
      <w:rFonts w:cs="Wingdings"/>
    </w:rPr>
  </w:style>
  <w:style w:type="character" w:styleId="ListLabel356">
    <w:name w:val="ListLabel 356"/>
    <w:qFormat/>
    <w:rPr>
      <w:rFonts w:cs="Wingdings"/>
    </w:rPr>
  </w:style>
  <w:style w:type="character" w:styleId="ListLabel357">
    <w:name w:val="ListLabel 357"/>
    <w:qFormat/>
    <w:rPr>
      <w:rFonts w:cs="Wingdings"/>
    </w:rPr>
  </w:style>
  <w:style w:type="character" w:styleId="ListLabel358">
    <w:name w:val="ListLabel 358"/>
    <w:qFormat/>
    <w:rPr>
      <w:rFonts w:cs="Wingdings"/>
    </w:rPr>
  </w:style>
  <w:style w:type="character" w:styleId="ListLabel359">
    <w:name w:val="ListLabel 359"/>
    <w:qFormat/>
    <w:rPr>
      <w:rFonts w:cs="Wingdings"/>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Times New Roman"/>
    </w:rPr>
  </w:style>
  <w:style w:type="character" w:styleId="ListLabel370">
    <w:name w:val="ListLabel 370"/>
    <w:qFormat/>
    <w:rPr>
      <w:rFonts w:cs="Times New Roman"/>
    </w:rPr>
  </w:style>
  <w:style w:type="character" w:styleId="ListLabel371">
    <w:name w:val="ListLabel 371"/>
    <w:qFormat/>
    <w:rPr>
      <w:rFonts w:cs="Times New Roman"/>
    </w:rPr>
  </w:style>
  <w:style w:type="character" w:styleId="ListLabel372">
    <w:name w:val="ListLabel 372"/>
    <w:qFormat/>
    <w:rPr>
      <w:rFonts w:cs="Times New Roman"/>
    </w:rPr>
  </w:style>
  <w:style w:type="character" w:styleId="ListLabel373">
    <w:name w:val="ListLabel 373"/>
    <w:qFormat/>
    <w:rPr>
      <w:rFonts w:cs="Times New Roman"/>
    </w:rPr>
  </w:style>
  <w:style w:type="character" w:styleId="ListLabel374">
    <w:name w:val="ListLabel 374"/>
    <w:qFormat/>
    <w:rPr>
      <w:rFonts w:cs="Times New Roman"/>
    </w:rPr>
  </w:style>
  <w:style w:type="character" w:styleId="ListLabel375">
    <w:name w:val="ListLabel 375"/>
    <w:qFormat/>
    <w:rPr>
      <w:rFonts w:cs="Times New Roman"/>
    </w:rPr>
  </w:style>
  <w:style w:type="character" w:styleId="ListLabel376">
    <w:name w:val="ListLabel 376"/>
    <w:qFormat/>
    <w:rPr>
      <w:rFonts w:cs="Times New Roman"/>
    </w:rPr>
  </w:style>
  <w:style w:type="character" w:styleId="ListLabel377">
    <w:name w:val="ListLabel 377"/>
    <w:qFormat/>
    <w:rPr>
      <w:rFonts w:cs="Times New Roman"/>
    </w:rPr>
  </w:style>
  <w:style w:type="character" w:styleId="ListLabel378">
    <w:name w:val="ListLabel 378"/>
    <w:qFormat/>
    <w:rPr>
      <w:rFonts w:cs="Times New Roman"/>
    </w:rPr>
  </w:style>
  <w:style w:type="character" w:styleId="ListLabel379">
    <w:name w:val="ListLabel 379"/>
    <w:qFormat/>
    <w:rPr>
      <w:rFonts w:cs="Times New Roman"/>
    </w:rPr>
  </w:style>
  <w:style w:type="character" w:styleId="ListLabel380">
    <w:name w:val="ListLabel 380"/>
    <w:qFormat/>
    <w:rPr>
      <w:rFonts w:cs="Times New Roman"/>
    </w:rPr>
  </w:style>
  <w:style w:type="character" w:styleId="ListLabel381">
    <w:name w:val="ListLabel 381"/>
    <w:qFormat/>
    <w:rPr>
      <w:rFonts w:cs="Symbol"/>
      <w:color w:val="00000A"/>
    </w:rPr>
  </w:style>
  <w:style w:type="character" w:styleId="ListLabel382">
    <w:name w:val="ListLabel 382"/>
    <w:qFormat/>
    <w:rPr>
      <w:rFonts w:cs="Wingdings"/>
    </w:rPr>
  </w:style>
  <w:style w:type="character" w:styleId="ListLabel383">
    <w:name w:val="ListLabel 383"/>
    <w:qFormat/>
    <w:rPr>
      <w:rFonts w:cs="Wingdings"/>
    </w:rPr>
  </w:style>
  <w:style w:type="character" w:styleId="ListLabel384">
    <w:name w:val="ListLabel 384"/>
    <w:qFormat/>
    <w:rPr>
      <w:rFonts w:cs="Wingdings"/>
    </w:rPr>
  </w:style>
  <w:style w:type="character" w:styleId="ListLabel385">
    <w:name w:val="ListLabel 385"/>
    <w:qFormat/>
    <w:rPr>
      <w:rFonts w:cs="Wingdings"/>
    </w:rPr>
  </w:style>
  <w:style w:type="character" w:styleId="ListLabel386">
    <w:name w:val="ListLabel 386"/>
    <w:qFormat/>
    <w:rPr>
      <w:rFonts w:cs="Wingdings"/>
    </w:rPr>
  </w:style>
  <w:style w:type="character" w:styleId="ListLabel387">
    <w:name w:val="ListLabel 387"/>
    <w:qFormat/>
    <w:rPr>
      <w:rFonts w:cs="Wingdings"/>
    </w:rPr>
  </w:style>
  <w:style w:type="character" w:styleId="ListLabel388">
    <w:name w:val="ListLabel 388"/>
    <w:qFormat/>
    <w:rPr>
      <w:rFonts w:cs="Wingdings"/>
    </w:rPr>
  </w:style>
  <w:style w:type="character" w:styleId="ListLabel389">
    <w:name w:val="ListLabel 389"/>
    <w:qFormat/>
    <w:rPr>
      <w:rFonts w:cs="Wingdings"/>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Times New Roman"/>
    </w:rPr>
  </w:style>
  <w:style w:type="character" w:styleId="ListLabel400">
    <w:name w:val="ListLabel 400"/>
    <w:qFormat/>
    <w:rPr>
      <w:rFonts w:cs="Times New Roman"/>
    </w:rPr>
  </w:style>
  <w:style w:type="character" w:styleId="ListLabel401">
    <w:name w:val="ListLabel 401"/>
    <w:qFormat/>
    <w:rPr>
      <w:rFonts w:cs="Times New Roman"/>
    </w:rPr>
  </w:style>
  <w:style w:type="character" w:styleId="ListLabel402">
    <w:name w:val="ListLabel 402"/>
    <w:qFormat/>
    <w:rPr>
      <w:rFonts w:cs="Times New Roman"/>
    </w:rPr>
  </w:style>
  <w:style w:type="character" w:styleId="ListLabel403">
    <w:name w:val="ListLabel 403"/>
    <w:qFormat/>
    <w:rPr>
      <w:rFonts w:cs="Times New Roman"/>
    </w:rPr>
  </w:style>
  <w:style w:type="character" w:styleId="ListLabel404">
    <w:name w:val="ListLabel 404"/>
    <w:qFormat/>
    <w:rPr>
      <w:rFonts w:cs="Times New Roman"/>
    </w:rPr>
  </w:style>
  <w:style w:type="character" w:styleId="ListLabel405">
    <w:name w:val="ListLabel 405"/>
    <w:qFormat/>
    <w:rPr>
      <w:rFonts w:cs="Times New Roman"/>
    </w:rPr>
  </w:style>
  <w:style w:type="character" w:styleId="ListLabel406">
    <w:name w:val="ListLabel 406"/>
    <w:qFormat/>
    <w:rPr>
      <w:rFonts w:cs="Times New Roman"/>
    </w:rPr>
  </w:style>
  <w:style w:type="character" w:styleId="ListLabel407">
    <w:name w:val="ListLabel 407"/>
    <w:qFormat/>
    <w:rPr>
      <w:rFonts w:cs="Times New Roman"/>
    </w:rPr>
  </w:style>
  <w:style w:type="character" w:styleId="ListLabel408">
    <w:name w:val="ListLabel 408"/>
    <w:qFormat/>
    <w:rPr>
      <w:rFonts w:cs="Times New Roman"/>
    </w:rPr>
  </w:style>
  <w:style w:type="character" w:styleId="ListLabel409">
    <w:name w:val="ListLabel 409"/>
    <w:qFormat/>
    <w:rPr>
      <w:rFonts w:cs="Times New Roman"/>
    </w:rPr>
  </w:style>
  <w:style w:type="character" w:styleId="ListLabel410">
    <w:name w:val="ListLabel 410"/>
    <w:qFormat/>
    <w:rPr>
      <w:rFonts w:cs="Times New Roman"/>
    </w:rPr>
  </w:style>
  <w:style w:type="character" w:styleId="ListLabel411">
    <w:name w:val="ListLabel 411"/>
    <w:qFormat/>
    <w:rPr>
      <w:rFonts w:cs="Symbol"/>
      <w:color w:val="00000A"/>
    </w:rPr>
  </w:style>
  <w:style w:type="character" w:styleId="ListLabel412">
    <w:name w:val="ListLabel 412"/>
    <w:qFormat/>
    <w:rPr>
      <w:rFonts w:cs="Wingdings"/>
    </w:rPr>
  </w:style>
  <w:style w:type="character" w:styleId="ListLabel413">
    <w:name w:val="ListLabel 413"/>
    <w:qFormat/>
    <w:rPr>
      <w:rFonts w:cs="Wingdings"/>
    </w:rPr>
  </w:style>
  <w:style w:type="character" w:styleId="ListLabel414">
    <w:name w:val="ListLabel 414"/>
    <w:qFormat/>
    <w:rPr>
      <w:rFonts w:cs="Wingdings"/>
    </w:rPr>
  </w:style>
  <w:style w:type="character" w:styleId="ListLabel415">
    <w:name w:val="ListLabel 415"/>
    <w:qFormat/>
    <w:rPr>
      <w:rFonts w:cs="Wingdings"/>
    </w:rPr>
  </w:style>
  <w:style w:type="character" w:styleId="ListLabel416">
    <w:name w:val="ListLabel 416"/>
    <w:qFormat/>
    <w:rPr>
      <w:rFonts w:cs="Wingdings"/>
    </w:rPr>
  </w:style>
  <w:style w:type="character" w:styleId="ListLabel417">
    <w:name w:val="ListLabel 417"/>
    <w:qFormat/>
    <w:rPr>
      <w:rFonts w:cs="Wingdings"/>
    </w:rPr>
  </w:style>
  <w:style w:type="character" w:styleId="ListLabel418">
    <w:name w:val="ListLabel 418"/>
    <w:qFormat/>
    <w:rPr>
      <w:rFonts w:cs="Wingdings"/>
    </w:rPr>
  </w:style>
  <w:style w:type="character" w:styleId="ListLabel419">
    <w:name w:val="ListLabel 419"/>
    <w:qFormat/>
    <w:rPr>
      <w:rFonts w:cs="Wingdings"/>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Times New Roman"/>
    </w:rPr>
  </w:style>
  <w:style w:type="character" w:styleId="ListLabel430">
    <w:name w:val="ListLabel 430"/>
    <w:qFormat/>
    <w:rPr>
      <w:rFonts w:cs="Times New Roman"/>
    </w:rPr>
  </w:style>
  <w:style w:type="character" w:styleId="ListLabel431">
    <w:name w:val="ListLabel 431"/>
    <w:qFormat/>
    <w:rPr>
      <w:rFonts w:cs="Times New Roman"/>
    </w:rPr>
  </w:style>
  <w:style w:type="character" w:styleId="ListLabel432">
    <w:name w:val="ListLabel 432"/>
    <w:qFormat/>
    <w:rPr>
      <w:rFonts w:cs="Times New Roman"/>
    </w:rPr>
  </w:style>
  <w:style w:type="character" w:styleId="ListLabel433">
    <w:name w:val="ListLabel 433"/>
    <w:qFormat/>
    <w:rPr>
      <w:rFonts w:cs="Times New Roman"/>
    </w:rPr>
  </w:style>
  <w:style w:type="character" w:styleId="ListLabel434">
    <w:name w:val="ListLabel 434"/>
    <w:qFormat/>
    <w:rPr>
      <w:rFonts w:cs="Times New Roman"/>
    </w:rPr>
  </w:style>
  <w:style w:type="character" w:styleId="ListLabel435">
    <w:name w:val="ListLabel 435"/>
    <w:qFormat/>
    <w:rPr>
      <w:rFonts w:cs="Times New Roman"/>
    </w:rPr>
  </w:style>
  <w:style w:type="character" w:styleId="ListLabel436">
    <w:name w:val="ListLabel 436"/>
    <w:qFormat/>
    <w:rPr>
      <w:rFonts w:cs="Times New Roman"/>
    </w:rPr>
  </w:style>
  <w:style w:type="character" w:styleId="ListLabel437">
    <w:name w:val="ListLabel 437"/>
    <w:qFormat/>
    <w:rPr>
      <w:rFonts w:cs="Times New Roman"/>
    </w:rPr>
  </w:style>
  <w:style w:type="character" w:styleId="ListLabel438">
    <w:name w:val="ListLabel 438"/>
    <w:qFormat/>
    <w:rPr>
      <w:rFonts w:cs="Times New Roman"/>
    </w:rPr>
  </w:style>
  <w:style w:type="character" w:styleId="ListLabel439">
    <w:name w:val="ListLabel 439"/>
    <w:qFormat/>
    <w:rPr>
      <w:rFonts w:cs="Times New Roman"/>
    </w:rPr>
  </w:style>
  <w:style w:type="character" w:styleId="ListLabel440">
    <w:name w:val="ListLabel 440"/>
    <w:qFormat/>
    <w:rPr>
      <w:rFonts w:cs="Times New Roman"/>
    </w:rPr>
  </w:style>
  <w:style w:type="character" w:styleId="ListLabel441">
    <w:name w:val="ListLabel 441"/>
    <w:qFormat/>
    <w:rPr>
      <w:rFonts w:cs="Symbol"/>
      <w:color w:val="00000A"/>
    </w:rPr>
  </w:style>
  <w:style w:type="character" w:styleId="ListLabel442">
    <w:name w:val="ListLabel 442"/>
    <w:qFormat/>
    <w:rPr>
      <w:rFonts w:cs="Wingdings"/>
    </w:rPr>
  </w:style>
  <w:style w:type="character" w:styleId="ListLabel443">
    <w:name w:val="ListLabel 443"/>
    <w:qFormat/>
    <w:rPr>
      <w:rFonts w:cs="Wingdings"/>
    </w:rPr>
  </w:style>
  <w:style w:type="character" w:styleId="ListLabel444">
    <w:name w:val="ListLabel 444"/>
    <w:qFormat/>
    <w:rPr>
      <w:rFonts w:cs="Wingdings"/>
    </w:rPr>
  </w:style>
  <w:style w:type="character" w:styleId="ListLabel445">
    <w:name w:val="ListLabel 445"/>
    <w:qFormat/>
    <w:rPr>
      <w:rFonts w:cs="Wingdings"/>
    </w:rPr>
  </w:style>
  <w:style w:type="character" w:styleId="ListLabel446">
    <w:name w:val="ListLabel 446"/>
    <w:qFormat/>
    <w:rPr>
      <w:rFonts w:cs="Wingdings"/>
    </w:rPr>
  </w:style>
  <w:style w:type="character" w:styleId="ListLabel447">
    <w:name w:val="ListLabel 447"/>
    <w:qFormat/>
    <w:rPr>
      <w:rFonts w:cs="Wingdings"/>
    </w:rPr>
  </w:style>
  <w:style w:type="character" w:styleId="ListLabel448">
    <w:name w:val="ListLabel 448"/>
    <w:qFormat/>
    <w:rPr>
      <w:rFonts w:cs="Wingdings"/>
    </w:rPr>
  </w:style>
  <w:style w:type="character" w:styleId="ListLabel449">
    <w:name w:val="ListLabel 449"/>
    <w:qFormat/>
    <w:rPr>
      <w:rFonts w:cs="Wingdings"/>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Times New Roman"/>
    </w:rPr>
  </w:style>
  <w:style w:type="character" w:styleId="ListLabel460">
    <w:name w:val="ListLabel 460"/>
    <w:qFormat/>
    <w:rPr>
      <w:rFonts w:cs="Times New Roman"/>
    </w:rPr>
  </w:style>
  <w:style w:type="character" w:styleId="ListLabel461">
    <w:name w:val="ListLabel 461"/>
    <w:qFormat/>
    <w:rPr>
      <w:rFonts w:cs="Times New Roman"/>
    </w:rPr>
  </w:style>
  <w:style w:type="character" w:styleId="ListLabel462">
    <w:name w:val="ListLabel 462"/>
    <w:qFormat/>
    <w:rPr>
      <w:rFonts w:cs="Times New Roman"/>
    </w:rPr>
  </w:style>
  <w:style w:type="character" w:styleId="ListLabel463">
    <w:name w:val="ListLabel 463"/>
    <w:qFormat/>
    <w:rPr>
      <w:rFonts w:cs="Times New Roman"/>
    </w:rPr>
  </w:style>
  <w:style w:type="character" w:styleId="ListLabel464">
    <w:name w:val="ListLabel 464"/>
    <w:qFormat/>
    <w:rPr>
      <w:rFonts w:cs="Times New Roman"/>
    </w:rPr>
  </w:style>
  <w:style w:type="character" w:styleId="ListLabel465">
    <w:name w:val="ListLabel 465"/>
    <w:qFormat/>
    <w:rPr>
      <w:rFonts w:cs="Times New Roman"/>
    </w:rPr>
  </w:style>
  <w:style w:type="character" w:styleId="ListLabel466">
    <w:name w:val="ListLabel 466"/>
    <w:qFormat/>
    <w:rPr>
      <w:rFonts w:cs="Times New Roman"/>
    </w:rPr>
  </w:style>
  <w:style w:type="character" w:styleId="ListLabel467">
    <w:name w:val="ListLabel 467"/>
    <w:qFormat/>
    <w:rPr>
      <w:rFonts w:cs="Times New Roman"/>
    </w:rPr>
  </w:style>
  <w:style w:type="character" w:styleId="ListLabel468">
    <w:name w:val="ListLabel 468"/>
    <w:qFormat/>
    <w:rPr>
      <w:rFonts w:cs="Times New Roman"/>
    </w:rPr>
  </w:style>
  <w:style w:type="character" w:styleId="ListLabel469">
    <w:name w:val="ListLabel 469"/>
    <w:qFormat/>
    <w:rPr>
      <w:rFonts w:cs="Times New Roman"/>
    </w:rPr>
  </w:style>
  <w:style w:type="character" w:styleId="ListLabel470">
    <w:name w:val="ListLabel 470"/>
    <w:qFormat/>
    <w:rPr>
      <w:rFonts w:cs="Times New Roman"/>
    </w:rPr>
  </w:style>
  <w:style w:type="character" w:styleId="ListLabel471">
    <w:name w:val="ListLabel 471"/>
    <w:qFormat/>
    <w:rPr>
      <w:rFonts w:cs="Symbol"/>
      <w:color w:val="00000A"/>
    </w:rPr>
  </w:style>
  <w:style w:type="character" w:styleId="ListLabel472">
    <w:name w:val="ListLabel 472"/>
    <w:qFormat/>
    <w:rPr>
      <w:rFonts w:cs="Wingdings"/>
    </w:rPr>
  </w:style>
  <w:style w:type="character" w:styleId="ListLabel473">
    <w:name w:val="ListLabel 473"/>
    <w:qFormat/>
    <w:rPr>
      <w:rFonts w:cs="Wingdings"/>
    </w:rPr>
  </w:style>
  <w:style w:type="character" w:styleId="ListLabel474">
    <w:name w:val="ListLabel 474"/>
    <w:qFormat/>
    <w:rPr>
      <w:rFonts w:cs="Wingdings"/>
    </w:rPr>
  </w:style>
  <w:style w:type="character" w:styleId="ListLabel475">
    <w:name w:val="ListLabel 475"/>
    <w:qFormat/>
    <w:rPr>
      <w:rFonts w:cs="Wingdings"/>
    </w:rPr>
  </w:style>
  <w:style w:type="character" w:styleId="ListLabel476">
    <w:name w:val="ListLabel 476"/>
    <w:qFormat/>
    <w:rPr>
      <w:rFonts w:cs="Wingdings"/>
    </w:rPr>
  </w:style>
  <w:style w:type="character" w:styleId="ListLabel477">
    <w:name w:val="ListLabel 477"/>
    <w:qFormat/>
    <w:rPr>
      <w:rFonts w:cs="Wingdings"/>
    </w:rPr>
  </w:style>
  <w:style w:type="character" w:styleId="ListLabel478">
    <w:name w:val="ListLabel 478"/>
    <w:qFormat/>
    <w:rPr>
      <w:rFonts w:cs="Wingdings"/>
    </w:rPr>
  </w:style>
  <w:style w:type="character" w:styleId="ListLabel479">
    <w:name w:val="ListLabel 479"/>
    <w:qFormat/>
    <w:rPr>
      <w:rFonts w:cs="Wingdings"/>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Times New Roman"/>
    </w:rPr>
  </w:style>
  <w:style w:type="character" w:styleId="ListLabel499">
    <w:name w:val="ListLabel 499"/>
    <w:qFormat/>
    <w:rPr>
      <w:rFonts w:cs="Times New Roman"/>
    </w:rPr>
  </w:style>
  <w:style w:type="character" w:styleId="ListLabel500">
    <w:name w:val="ListLabel 500"/>
    <w:qFormat/>
    <w:rPr>
      <w:rFonts w:cs="Times New Roman"/>
    </w:rPr>
  </w:style>
  <w:style w:type="character" w:styleId="ListLabel501">
    <w:name w:val="ListLabel 501"/>
    <w:qFormat/>
    <w:rPr>
      <w:rFonts w:cs="Times New Roman"/>
    </w:rPr>
  </w:style>
  <w:style w:type="character" w:styleId="ListLabel502">
    <w:name w:val="ListLabel 502"/>
    <w:qFormat/>
    <w:rPr>
      <w:rFonts w:cs="Times New Roman"/>
    </w:rPr>
  </w:style>
  <w:style w:type="character" w:styleId="ListLabel503">
    <w:name w:val="ListLabel 503"/>
    <w:qFormat/>
    <w:rPr>
      <w:rFonts w:cs="Times New Roman"/>
    </w:rPr>
  </w:style>
  <w:style w:type="character" w:styleId="ListLabel504">
    <w:name w:val="ListLabel 504"/>
    <w:qFormat/>
    <w:rPr>
      <w:rFonts w:cs="Times New Roman"/>
    </w:rPr>
  </w:style>
  <w:style w:type="character" w:styleId="ListLabel505">
    <w:name w:val="ListLabel 505"/>
    <w:qFormat/>
    <w:rPr>
      <w:rFonts w:cs="Times New Roman"/>
    </w:rPr>
  </w:style>
  <w:style w:type="character" w:styleId="ListLabel506">
    <w:name w:val="ListLabel 506"/>
    <w:qFormat/>
    <w:rPr>
      <w:rFonts w:cs="Times New Roman"/>
    </w:rPr>
  </w:style>
  <w:style w:type="character" w:styleId="ListLabel507">
    <w:name w:val="ListLabel 507"/>
    <w:qFormat/>
    <w:rPr>
      <w:rFonts w:cs="Times New Roman"/>
    </w:rPr>
  </w:style>
  <w:style w:type="character" w:styleId="ListLabel508">
    <w:name w:val="ListLabel 508"/>
    <w:qFormat/>
    <w:rPr>
      <w:rFonts w:cs="Times New Roman"/>
    </w:rPr>
  </w:style>
  <w:style w:type="character" w:styleId="ListLabel509">
    <w:name w:val="ListLabel 509"/>
    <w:qFormat/>
    <w:rPr>
      <w:rFonts w:cs="Times New Roman"/>
    </w:rPr>
  </w:style>
  <w:style w:type="character" w:styleId="ListLabel510">
    <w:name w:val="ListLabel 510"/>
    <w:qFormat/>
    <w:rPr>
      <w:rFonts w:cs="Symbol"/>
      <w:color w:val="00000A"/>
    </w:rPr>
  </w:style>
  <w:style w:type="character" w:styleId="ListLabel511">
    <w:name w:val="ListLabel 511"/>
    <w:qFormat/>
    <w:rPr>
      <w:rFonts w:cs="Wingdings"/>
    </w:rPr>
  </w:style>
  <w:style w:type="character" w:styleId="ListLabel512">
    <w:name w:val="ListLabel 512"/>
    <w:qFormat/>
    <w:rPr>
      <w:rFonts w:cs="Wingdings"/>
    </w:rPr>
  </w:style>
  <w:style w:type="character" w:styleId="ListLabel513">
    <w:name w:val="ListLabel 513"/>
    <w:qFormat/>
    <w:rPr>
      <w:rFonts w:cs="Wingdings"/>
    </w:rPr>
  </w:style>
  <w:style w:type="character" w:styleId="ListLabel514">
    <w:name w:val="ListLabel 514"/>
    <w:qFormat/>
    <w:rPr>
      <w:rFonts w:cs="Wingdings"/>
    </w:rPr>
  </w:style>
  <w:style w:type="character" w:styleId="ListLabel515">
    <w:name w:val="ListLabel 515"/>
    <w:qFormat/>
    <w:rPr>
      <w:rFonts w:cs="Wingdings"/>
    </w:rPr>
  </w:style>
  <w:style w:type="character" w:styleId="ListLabel516">
    <w:name w:val="ListLabel 516"/>
    <w:qFormat/>
    <w:rPr>
      <w:rFonts w:cs="Wingdings"/>
    </w:rPr>
  </w:style>
  <w:style w:type="character" w:styleId="ListLabel517">
    <w:name w:val="ListLabel 517"/>
    <w:qFormat/>
    <w:rPr>
      <w:rFonts w:cs="Wingdings"/>
    </w:rPr>
  </w:style>
  <w:style w:type="character" w:styleId="ListLabel518">
    <w:name w:val="ListLabel 518"/>
    <w:qFormat/>
    <w:rPr>
      <w:rFonts w:cs="Wingdings"/>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Times New Roman"/>
    </w:rPr>
  </w:style>
  <w:style w:type="character" w:styleId="ListLabel538">
    <w:name w:val="ListLabel 538"/>
    <w:qFormat/>
    <w:rPr>
      <w:rFonts w:cs="Times New Roman"/>
    </w:rPr>
  </w:style>
  <w:style w:type="character" w:styleId="ListLabel539">
    <w:name w:val="ListLabel 539"/>
    <w:qFormat/>
    <w:rPr>
      <w:rFonts w:cs="Times New Roman"/>
    </w:rPr>
  </w:style>
  <w:style w:type="character" w:styleId="ListLabel540">
    <w:name w:val="ListLabel 540"/>
    <w:qFormat/>
    <w:rPr>
      <w:rFonts w:cs="Times New Roman"/>
    </w:rPr>
  </w:style>
  <w:style w:type="character" w:styleId="ListLabel541">
    <w:name w:val="ListLabel 541"/>
    <w:qFormat/>
    <w:rPr>
      <w:rFonts w:cs="Times New Roman"/>
    </w:rPr>
  </w:style>
  <w:style w:type="character" w:styleId="ListLabel542">
    <w:name w:val="ListLabel 542"/>
    <w:qFormat/>
    <w:rPr>
      <w:rFonts w:cs="Times New Roman"/>
    </w:rPr>
  </w:style>
  <w:style w:type="character" w:styleId="ListLabel543">
    <w:name w:val="ListLabel 543"/>
    <w:qFormat/>
    <w:rPr>
      <w:rFonts w:cs="Times New Roman"/>
    </w:rPr>
  </w:style>
  <w:style w:type="character" w:styleId="ListLabel544">
    <w:name w:val="ListLabel 544"/>
    <w:qFormat/>
    <w:rPr>
      <w:rFonts w:cs="Times New Roman"/>
    </w:rPr>
  </w:style>
  <w:style w:type="character" w:styleId="ListLabel545">
    <w:name w:val="ListLabel 545"/>
    <w:qFormat/>
    <w:rPr>
      <w:rFonts w:cs="Times New Roman"/>
    </w:rPr>
  </w:style>
  <w:style w:type="character" w:styleId="ListLabel546">
    <w:name w:val="ListLabel 546"/>
    <w:qFormat/>
    <w:rPr>
      <w:rFonts w:cs="Times New Roman"/>
    </w:rPr>
  </w:style>
  <w:style w:type="character" w:styleId="ListLabel547">
    <w:name w:val="ListLabel 547"/>
    <w:qFormat/>
    <w:rPr>
      <w:rFonts w:cs="Times New Roman"/>
    </w:rPr>
  </w:style>
  <w:style w:type="character" w:styleId="ListLabel548">
    <w:name w:val="ListLabel 548"/>
    <w:qFormat/>
    <w:rPr>
      <w:rFonts w:cs="Times New Roman"/>
    </w:rPr>
  </w:style>
  <w:style w:type="character" w:styleId="ListLabel549">
    <w:name w:val="ListLabel 549"/>
    <w:qFormat/>
    <w:rPr>
      <w:rFonts w:cs="Symbol"/>
      <w:color w:val="00000A"/>
    </w:rPr>
  </w:style>
  <w:style w:type="character" w:styleId="ListLabel550">
    <w:name w:val="ListLabel 550"/>
    <w:qFormat/>
    <w:rPr>
      <w:rFonts w:cs="Wingdings"/>
    </w:rPr>
  </w:style>
  <w:style w:type="character" w:styleId="ListLabel551">
    <w:name w:val="ListLabel 551"/>
    <w:qFormat/>
    <w:rPr>
      <w:rFonts w:cs="Wingdings"/>
    </w:rPr>
  </w:style>
  <w:style w:type="character" w:styleId="ListLabel552">
    <w:name w:val="ListLabel 552"/>
    <w:qFormat/>
    <w:rPr>
      <w:rFonts w:cs="Wingdings"/>
    </w:rPr>
  </w:style>
  <w:style w:type="character" w:styleId="ListLabel553">
    <w:name w:val="ListLabel 553"/>
    <w:qFormat/>
    <w:rPr>
      <w:rFonts w:cs="Wingdings"/>
    </w:rPr>
  </w:style>
  <w:style w:type="character" w:styleId="ListLabel554">
    <w:name w:val="ListLabel 554"/>
    <w:qFormat/>
    <w:rPr>
      <w:rFonts w:cs="Wingdings"/>
    </w:rPr>
  </w:style>
  <w:style w:type="character" w:styleId="ListLabel555">
    <w:name w:val="ListLabel 555"/>
    <w:qFormat/>
    <w:rPr>
      <w:rFonts w:cs="Wingdings"/>
    </w:rPr>
  </w:style>
  <w:style w:type="character" w:styleId="ListLabel556">
    <w:name w:val="ListLabel 556"/>
    <w:qFormat/>
    <w:rPr>
      <w:rFonts w:cs="Wingdings"/>
    </w:rPr>
  </w:style>
  <w:style w:type="character" w:styleId="ListLabel557">
    <w:name w:val="ListLabel 557"/>
    <w:qFormat/>
    <w:rPr>
      <w:rFonts w:cs="Wingdings"/>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rFonts w:cs="OpenSymbol"/>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Times New Roman"/>
    </w:rPr>
  </w:style>
  <w:style w:type="character" w:styleId="ListLabel577">
    <w:name w:val="ListLabel 577"/>
    <w:qFormat/>
    <w:rPr>
      <w:rFonts w:cs="Times New Roman"/>
    </w:rPr>
  </w:style>
  <w:style w:type="character" w:styleId="ListLabel578">
    <w:name w:val="ListLabel 578"/>
    <w:qFormat/>
    <w:rPr>
      <w:rFonts w:cs="Times New Roman"/>
    </w:rPr>
  </w:style>
  <w:style w:type="character" w:styleId="ListLabel579">
    <w:name w:val="ListLabel 579"/>
    <w:qFormat/>
    <w:rPr>
      <w:rFonts w:cs="Times New Roman"/>
    </w:rPr>
  </w:style>
  <w:style w:type="character" w:styleId="ListLabel580">
    <w:name w:val="ListLabel 580"/>
    <w:qFormat/>
    <w:rPr>
      <w:rFonts w:cs="Times New Roman"/>
    </w:rPr>
  </w:style>
  <w:style w:type="character" w:styleId="ListLabel581">
    <w:name w:val="ListLabel 581"/>
    <w:qFormat/>
    <w:rPr>
      <w:rFonts w:cs="Times New Roman"/>
    </w:rPr>
  </w:style>
  <w:style w:type="character" w:styleId="ListLabel582">
    <w:name w:val="ListLabel 582"/>
    <w:qFormat/>
    <w:rPr>
      <w:rFonts w:cs="Times New Roman"/>
    </w:rPr>
  </w:style>
  <w:style w:type="character" w:styleId="ListLabel583">
    <w:name w:val="ListLabel 583"/>
    <w:qFormat/>
    <w:rPr>
      <w:rFonts w:cs="Times New Roman"/>
    </w:rPr>
  </w:style>
  <w:style w:type="character" w:styleId="ListLabel584">
    <w:name w:val="ListLabel 584"/>
    <w:qFormat/>
    <w:rPr>
      <w:rFonts w:cs="Times New Roman"/>
    </w:rPr>
  </w:style>
  <w:style w:type="character" w:styleId="ListLabel585">
    <w:name w:val="ListLabel 585"/>
    <w:qFormat/>
    <w:rPr>
      <w:rFonts w:cs="Times New Roman"/>
    </w:rPr>
  </w:style>
  <w:style w:type="character" w:styleId="ListLabel586">
    <w:name w:val="ListLabel 586"/>
    <w:qFormat/>
    <w:rPr>
      <w:rFonts w:cs="Times New Roman"/>
    </w:rPr>
  </w:style>
  <w:style w:type="character" w:styleId="ListLabel587">
    <w:name w:val="ListLabel 587"/>
    <w:qFormat/>
    <w:rPr>
      <w:rFonts w:cs="Times New Roman"/>
    </w:rPr>
  </w:style>
  <w:style w:type="character" w:styleId="ListLabel588">
    <w:name w:val="ListLabel 588"/>
    <w:qFormat/>
    <w:rPr>
      <w:rFonts w:cs="Symbol"/>
      <w:color w:val="00000A"/>
    </w:rPr>
  </w:style>
  <w:style w:type="character" w:styleId="ListLabel589">
    <w:name w:val="ListLabel 589"/>
    <w:qFormat/>
    <w:rPr>
      <w:rFonts w:cs="Wingdings"/>
    </w:rPr>
  </w:style>
  <w:style w:type="character" w:styleId="ListLabel590">
    <w:name w:val="ListLabel 590"/>
    <w:qFormat/>
    <w:rPr>
      <w:rFonts w:cs="Wingdings"/>
    </w:rPr>
  </w:style>
  <w:style w:type="character" w:styleId="ListLabel591">
    <w:name w:val="ListLabel 591"/>
    <w:qFormat/>
    <w:rPr>
      <w:rFonts w:cs="Wingdings"/>
    </w:rPr>
  </w:style>
  <w:style w:type="character" w:styleId="ListLabel592">
    <w:name w:val="ListLabel 592"/>
    <w:qFormat/>
    <w:rPr>
      <w:rFonts w:cs="Wingdings"/>
    </w:rPr>
  </w:style>
  <w:style w:type="character" w:styleId="ListLabel593">
    <w:name w:val="ListLabel 593"/>
    <w:qFormat/>
    <w:rPr>
      <w:rFonts w:cs="Wingdings"/>
    </w:rPr>
  </w:style>
  <w:style w:type="character" w:styleId="ListLabel594">
    <w:name w:val="ListLabel 594"/>
    <w:qFormat/>
    <w:rPr>
      <w:rFonts w:cs="Wingdings"/>
    </w:rPr>
  </w:style>
  <w:style w:type="character" w:styleId="ListLabel595">
    <w:name w:val="ListLabel 595"/>
    <w:qFormat/>
    <w:rPr>
      <w:rFonts w:cs="Wingdings"/>
    </w:rPr>
  </w:style>
  <w:style w:type="character" w:styleId="ListLabel596">
    <w:name w:val="ListLabel 596"/>
    <w:qFormat/>
    <w:rPr>
      <w:rFonts w:cs="Wingdings"/>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Times New Roman"/>
    </w:rPr>
  </w:style>
  <w:style w:type="character" w:styleId="ListLabel616">
    <w:name w:val="ListLabel 616"/>
    <w:qFormat/>
    <w:rPr>
      <w:rFonts w:cs="Times New Roman"/>
    </w:rPr>
  </w:style>
  <w:style w:type="character" w:styleId="ListLabel617">
    <w:name w:val="ListLabel 617"/>
    <w:qFormat/>
    <w:rPr>
      <w:rFonts w:cs="Times New Roman"/>
    </w:rPr>
  </w:style>
  <w:style w:type="character" w:styleId="ListLabel618">
    <w:name w:val="ListLabel 618"/>
    <w:qFormat/>
    <w:rPr>
      <w:rFonts w:cs="Times New Roman"/>
    </w:rPr>
  </w:style>
  <w:style w:type="character" w:styleId="ListLabel619">
    <w:name w:val="ListLabel 619"/>
    <w:qFormat/>
    <w:rPr>
      <w:rFonts w:cs="Times New Roman"/>
    </w:rPr>
  </w:style>
  <w:style w:type="character" w:styleId="ListLabel620">
    <w:name w:val="ListLabel 620"/>
    <w:qFormat/>
    <w:rPr>
      <w:rFonts w:cs="Times New Roman"/>
    </w:rPr>
  </w:style>
  <w:style w:type="character" w:styleId="ListLabel621">
    <w:name w:val="ListLabel 621"/>
    <w:qFormat/>
    <w:rPr>
      <w:rFonts w:cs="Times New Roman"/>
    </w:rPr>
  </w:style>
  <w:style w:type="character" w:styleId="ListLabel622">
    <w:name w:val="ListLabel 622"/>
    <w:qFormat/>
    <w:rPr>
      <w:rFonts w:cs="Times New Roman"/>
    </w:rPr>
  </w:style>
  <w:style w:type="character" w:styleId="ListLabel623">
    <w:name w:val="ListLabel 623"/>
    <w:qFormat/>
    <w:rPr>
      <w:rFonts w:cs="Times New Roman"/>
    </w:rPr>
  </w:style>
  <w:style w:type="character" w:styleId="ListLabel624">
    <w:name w:val="ListLabel 624"/>
    <w:qFormat/>
    <w:rPr>
      <w:rFonts w:cs="Times New Roman"/>
    </w:rPr>
  </w:style>
  <w:style w:type="character" w:styleId="ListLabel625">
    <w:name w:val="ListLabel 625"/>
    <w:qFormat/>
    <w:rPr>
      <w:rFonts w:cs="Times New Roman"/>
    </w:rPr>
  </w:style>
  <w:style w:type="character" w:styleId="ListLabel626">
    <w:name w:val="ListLabel 626"/>
    <w:qFormat/>
    <w:rPr>
      <w:rFonts w:cs="Times New Roman"/>
    </w:rPr>
  </w:style>
  <w:style w:type="character" w:styleId="ListLabel627">
    <w:name w:val="ListLabel 627"/>
    <w:qFormat/>
    <w:rPr>
      <w:rFonts w:cs="Symbol"/>
      <w:color w:val="00000A"/>
    </w:rPr>
  </w:style>
  <w:style w:type="character" w:styleId="ListLabel628">
    <w:name w:val="ListLabel 628"/>
    <w:qFormat/>
    <w:rPr>
      <w:rFonts w:cs="Wingdings"/>
    </w:rPr>
  </w:style>
  <w:style w:type="character" w:styleId="ListLabel629">
    <w:name w:val="ListLabel 629"/>
    <w:qFormat/>
    <w:rPr>
      <w:rFonts w:cs="Wingdings"/>
    </w:rPr>
  </w:style>
  <w:style w:type="character" w:styleId="ListLabel630">
    <w:name w:val="ListLabel 630"/>
    <w:qFormat/>
    <w:rPr>
      <w:rFonts w:cs="Wingdings"/>
    </w:rPr>
  </w:style>
  <w:style w:type="character" w:styleId="ListLabel631">
    <w:name w:val="ListLabel 631"/>
    <w:qFormat/>
    <w:rPr>
      <w:rFonts w:cs="Wingdings"/>
    </w:rPr>
  </w:style>
  <w:style w:type="character" w:styleId="ListLabel632">
    <w:name w:val="ListLabel 632"/>
    <w:qFormat/>
    <w:rPr>
      <w:rFonts w:cs="Wingdings"/>
    </w:rPr>
  </w:style>
  <w:style w:type="character" w:styleId="ListLabel633">
    <w:name w:val="ListLabel 633"/>
    <w:qFormat/>
    <w:rPr>
      <w:rFonts w:cs="Wingdings"/>
    </w:rPr>
  </w:style>
  <w:style w:type="character" w:styleId="ListLabel634">
    <w:name w:val="ListLabel 634"/>
    <w:qFormat/>
    <w:rPr>
      <w:rFonts w:cs="Wingdings"/>
    </w:rPr>
  </w:style>
  <w:style w:type="character" w:styleId="ListLabel635">
    <w:name w:val="ListLabel 635"/>
    <w:qFormat/>
    <w:rPr>
      <w:rFonts w:cs="Wingdings"/>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Times New Roman"/>
    </w:rPr>
  </w:style>
  <w:style w:type="character" w:styleId="ListLabel655">
    <w:name w:val="ListLabel 655"/>
    <w:qFormat/>
    <w:rPr>
      <w:rFonts w:cs="Times New Roman"/>
    </w:rPr>
  </w:style>
  <w:style w:type="character" w:styleId="ListLabel656">
    <w:name w:val="ListLabel 656"/>
    <w:qFormat/>
    <w:rPr>
      <w:rFonts w:cs="Times New Roman"/>
    </w:rPr>
  </w:style>
  <w:style w:type="character" w:styleId="ListLabel657">
    <w:name w:val="ListLabel 657"/>
    <w:qFormat/>
    <w:rPr>
      <w:rFonts w:cs="Times New Roman"/>
    </w:rPr>
  </w:style>
  <w:style w:type="character" w:styleId="ListLabel658">
    <w:name w:val="ListLabel 658"/>
    <w:qFormat/>
    <w:rPr>
      <w:rFonts w:cs="Times New Roman"/>
    </w:rPr>
  </w:style>
  <w:style w:type="character" w:styleId="ListLabel659">
    <w:name w:val="ListLabel 659"/>
    <w:qFormat/>
    <w:rPr>
      <w:rFonts w:cs="Times New Roman"/>
    </w:rPr>
  </w:style>
  <w:style w:type="character" w:styleId="ListLabel660">
    <w:name w:val="ListLabel 660"/>
    <w:qFormat/>
    <w:rPr>
      <w:rFonts w:cs="Times New Roman"/>
    </w:rPr>
  </w:style>
  <w:style w:type="character" w:styleId="ListLabel661">
    <w:name w:val="ListLabel 661"/>
    <w:qFormat/>
    <w:rPr>
      <w:rFonts w:cs="Times New Roman"/>
    </w:rPr>
  </w:style>
  <w:style w:type="character" w:styleId="ListLabel662">
    <w:name w:val="ListLabel 662"/>
    <w:qFormat/>
    <w:rPr>
      <w:rFonts w:cs="Times New Roman"/>
    </w:rPr>
  </w:style>
  <w:style w:type="character" w:styleId="ListLabel663">
    <w:name w:val="ListLabel 663"/>
    <w:qFormat/>
    <w:rPr>
      <w:rFonts w:cs="Times New Roman"/>
    </w:rPr>
  </w:style>
  <w:style w:type="character" w:styleId="ListLabel664">
    <w:name w:val="ListLabel 664"/>
    <w:qFormat/>
    <w:rPr>
      <w:rFonts w:cs="Times New Roman"/>
    </w:rPr>
  </w:style>
  <w:style w:type="character" w:styleId="ListLabel665">
    <w:name w:val="ListLabel 665"/>
    <w:qFormat/>
    <w:rPr>
      <w:rFonts w:cs="Times New Roman"/>
    </w:rPr>
  </w:style>
  <w:style w:type="character" w:styleId="ListLabel666">
    <w:name w:val="ListLabel 666"/>
    <w:qFormat/>
    <w:rPr>
      <w:rFonts w:cs="Symbol"/>
      <w:color w:val="00000A"/>
    </w:rPr>
  </w:style>
  <w:style w:type="character" w:styleId="ListLabel667">
    <w:name w:val="ListLabel 667"/>
    <w:qFormat/>
    <w:rPr>
      <w:rFonts w:cs="Wingdings"/>
    </w:rPr>
  </w:style>
  <w:style w:type="character" w:styleId="ListLabel668">
    <w:name w:val="ListLabel 668"/>
    <w:qFormat/>
    <w:rPr>
      <w:rFonts w:cs="Wingdings"/>
    </w:rPr>
  </w:style>
  <w:style w:type="character" w:styleId="ListLabel669">
    <w:name w:val="ListLabel 669"/>
    <w:qFormat/>
    <w:rPr>
      <w:rFonts w:cs="Wingdings"/>
    </w:rPr>
  </w:style>
  <w:style w:type="character" w:styleId="ListLabel670">
    <w:name w:val="ListLabel 670"/>
    <w:qFormat/>
    <w:rPr>
      <w:rFonts w:cs="Wingdings"/>
    </w:rPr>
  </w:style>
  <w:style w:type="character" w:styleId="ListLabel671">
    <w:name w:val="ListLabel 671"/>
    <w:qFormat/>
    <w:rPr>
      <w:rFonts w:cs="Wingdings"/>
    </w:rPr>
  </w:style>
  <w:style w:type="character" w:styleId="ListLabel672">
    <w:name w:val="ListLabel 672"/>
    <w:qFormat/>
    <w:rPr>
      <w:rFonts w:cs="Wingdings"/>
    </w:rPr>
  </w:style>
  <w:style w:type="character" w:styleId="ListLabel673">
    <w:name w:val="ListLabel 673"/>
    <w:qFormat/>
    <w:rPr>
      <w:rFonts w:cs="Wingdings"/>
    </w:rPr>
  </w:style>
  <w:style w:type="character" w:styleId="ListLabel674">
    <w:name w:val="ListLabel 674"/>
    <w:qFormat/>
    <w:rPr>
      <w:rFonts w:cs="Wingdings"/>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cs="Times New Roman"/>
    </w:rPr>
  </w:style>
  <w:style w:type="character" w:styleId="ListLabel694">
    <w:name w:val="ListLabel 694"/>
    <w:qFormat/>
    <w:rPr>
      <w:rFonts w:cs="Times New Roman"/>
    </w:rPr>
  </w:style>
  <w:style w:type="character" w:styleId="ListLabel695">
    <w:name w:val="ListLabel 695"/>
    <w:qFormat/>
    <w:rPr>
      <w:rFonts w:cs="Times New Roman"/>
    </w:rPr>
  </w:style>
  <w:style w:type="character" w:styleId="ListLabel696">
    <w:name w:val="ListLabel 696"/>
    <w:qFormat/>
    <w:rPr>
      <w:rFonts w:cs="Times New Roman"/>
    </w:rPr>
  </w:style>
  <w:style w:type="character" w:styleId="ListLabel697">
    <w:name w:val="ListLabel 697"/>
    <w:qFormat/>
    <w:rPr>
      <w:rFonts w:cs="Times New Roman"/>
    </w:rPr>
  </w:style>
  <w:style w:type="character" w:styleId="ListLabel698">
    <w:name w:val="ListLabel 698"/>
    <w:qFormat/>
    <w:rPr>
      <w:rFonts w:cs="Times New Roman"/>
    </w:rPr>
  </w:style>
  <w:style w:type="character" w:styleId="ListLabel699">
    <w:name w:val="ListLabel 699"/>
    <w:qFormat/>
    <w:rPr>
      <w:rFonts w:cs="Times New Roman"/>
    </w:rPr>
  </w:style>
  <w:style w:type="character" w:styleId="ListLabel700">
    <w:name w:val="ListLabel 700"/>
    <w:qFormat/>
    <w:rPr>
      <w:rFonts w:cs="Times New Roman"/>
    </w:rPr>
  </w:style>
  <w:style w:type="character" w:styleId="ListLabel701">
    <w:name w:val="ListLabel 701"/>
    <w:qFormat/>
    <w:rPr>
      <w:rFonts w:cs="Times New Roman"/>
    </w:rPr>
  </w:style>
  <w:style w:type="character" w:styleId="ListLabel702">
    <w:name w:val="ListLabel 702"/>
    <w:qFormat/>
    <w:rPr>
      <w:rFonts w:cs="Times New Roman"/>
    </w:rPr>
  </w:style>
  <w:style w:type="character" w:styleId="ListLabel703">
    <w:name w:val="ListLabel 703"/>
    <w:qFormat/>
    <w:rPr>
      <w:rFonts w:cs="Times New Roman"/>
    </w:rPr>
  </w:style>
  <w:style w:type="character" w:styleId="ListLabel704">
    <w:name w:val="ListLabel 704"/>
    <w:qFormat/>
    <w:rPr>
      <w:rFonts w:cs="Times New Roman"/>
    </w:rPr>
  </w:style>
  <w:style w:type="character" w:styleId="ListLabel705">
    <w:name w:val="ListLabel 705"/>
    <w:qFormat/>
    <w:rPr>
      <w:rFonts w:cs="Symbol"/>
      <w:color w:val="00000A"/>
    </w:rPr>
  </w:style>
  <w:style w:type="character" w:styleId="ListLabel706">
    <w:name w:val="ListLabel 706"/>
    <w:qFormat/>
    <w:rPr>
      <w:rFonts w:cs="Wingdings"/>
    </w:rPr>
  </w:style>
  <w:style w:type="character" w:styleId="ListLabel707">
    <w:name w:val="ListLabel 707"/>
    <w:qFormat/>
    <w:rPr>
      <w:rFonts w:cs="Wingdings"/>
    </w:rPr>
  </w:style>
  <w:style w:type="character" w:styleId="ListLabel708">
    <w:name w:val="ListLabel 708"/>
    <w:qFormat/>
    <w:rPr>
      <w:rFonts w:cs="Wingdings"/>
    </w:rPr>
  </w:style>
  <w:style w:type="character" w:styleId="ListLabel709">
    <w:name w:val="ListLabel 709"/>
    <w:qFormat/>
    <w:rPr>
      <w:rFonts w:cs="Wingdings"/>
    </w:rPr>
  </w:style>
  <w:style w:type="character" w:styleId="ListLabel710">
    <w:name w:val="ListLabel 710"/>
    <w:qFormat/>
    <w:rPr>
      <w:rFonts w:cs="Wingdings"/>
    </w:rPr>
  </w:style>
  <w:style w:type="character" w:styleId="ListLabel711">
    <w:name w:val="ListLabel 711"/>
    <w:qFormat/>
    <w:rPr>
      <w:rFonts w:cs="Wingdings"/>
    </w:rPr>
  </w:style>
  <w:style w:type="character" w:styleId="ListLabel712">
    <w:name w:val="ListLabel 712"/>
    <w:qFormat/>
    <w:rPr>
      <w:rFonts w:cs="Wingdings"/>
    </w:rPr>
  </w:style>
  <w:style w:type="character" w:styleId="ListLabel713">
    <w:name w:val="ListLabel 713"/>
    <w:qFormat/>
    <w:rPr>
      <w:rFonts w:cs="Wingdings"/>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Times New Roman"/>
    </w:rPr>
  </w:style>
  <w:style w:type="character" w:styleId="ListLabel742">
    <w:name w:val="ListLabel 742"/>
    <w:qFormat/>
    <w:rPr>
      <w:rFonts w:cs="Times New Roman"/>
    </w:rPr>
  </w:style>
  <w:style w:type="character" w:styleId="ListLabel743">
    <w:name w:val="ListLabel 743"/>
    <w:qFormat/>
    <w:rPr>
      <w:rFonts w:cs="Times New Roman"/>
    </w:rPr>
  </w:style>
  <w:style w:type="character" w:styleId="ListLabel744">
    <w:name w:val="ListLabel 744"/>
    <w:qFormat/>
    <w:rPr>
      <w:rFonts w:cs="Times New Roman"/>
    </w:rPr>
  </w:style>
  <w:style w:type="character" w:styleId="ListLabel745">
    <w:name w:val="ListLabel 745"/>
    <w:qFormat/>
    <w:rPr>
      <w:rFonts w:cs="Times New Roman"/>
    </w:rPr>
  </w:style>
  <w:style w:type="character" w:styleId="ListLabel746">
    <w:name w:val="ListLabel 746"/>
    <w:qFormat/>
    <w:rPr>
      <w:rFonts w:cs="Times New Roman"/>
    </w:rPr>
  </w:style>
  <w:style w:type="character" w:styleId="ListLabel747">
    <w:name w:val="ListLabel 747"/>
    <w:qFormat/>
    <w:rPr>
      <w:rFonts w:cs="Times New Roman"/>
    </w:rPr>
  </w:style>
  <w:style w:type="character" w:styleId="ListLabel748">
    <w:name w:val="ListLabel 748"/>
    <w:qFormat/>
    <w:rPr>
      <w:rFonts w:cs="Times New Roman"/>
    </w:rPr>
  </w:style>
  <w:style w:type="character" w:styleId="ListLabel749">
    <w:name w:val="ListLabel 749"/>
    <w:qFormat/>
    <w:rPr>
      <w:rFonts w:cs="Times New Roman"/>
    </w:rPr>
  </w:style>
  <w:style w:type="character" w:styleId="ListLabel750">
    <w:name w:val="ListLabel 750"/>
    <w:qFormat/>
    <w:rPr>
      <w:rFonts w:cs="Times New Roman"/>
    </w:rPr>
  </w:style>
  <w:style w:type="character" w:styleId="ListLabel751">
    <w:name w:val="ListLabel 751"/>
    <w:qFormat/>
    <w:rPr>
      <w:rFonts w:cs="Times New Roman"/>
    </w:rPr>
  </w:style>
  <w:style w:type="character" w:styleId="ListLabel752">
    <w:name w:val="ListLabel 752"/>
    <w:qFormat/>
    <w:rPr>
      <w:rFonts w:cs="Times New Roman"/>
    </w:rPr>
  </w:style>
  <w:style w:type="character" w:styleId="ListLabel753">
    <w:name w:val="ListLabel 753"/>
    <w:qFormat/>
    <w:rPr>
      <w:rFonts w:cs="Symbol"/>
      <w:color w:val="00000A"/>
    </w:rPr>
  </w:style>
  <w:style w:type="character" w:styleId="ListLabel754">
    <w:name w:val="ListLabel 754"/>
    <w:qFormat/>
    <w:rPr>
      <w:rFonts w:cs="Wingdings"/>
    </w:rPr>
  </w:style>
  <w:style w:type="character" w:styleId="ListLabel755">
    <w:name w:val="ListLabel 755"/>
    <w:qFormat/>
    <w:rPr>
      <w:rFonts w:cs="Wingdings"/>
    </w:rPr>
  </w:style>
  <w:style w:type="character" w:styleId="ListLabel756">
    <w:name w:val="ListLabel 756"/>
    <w:qFormat/>
    <w:rPr>
      <w:rFonts w:cs="Wingdings"/>
    </w:rPr>
  </w:style>
  <w:style w:type="character" w:styleId="ListLabel757">
    <w:name w:val="ListLabel 757"/>
    <w:qFormat/>
    <w:rPr>
      <w:rFonts w:cs="Wingdings"/>
    </w:rPr>
  </w:style>
  <w:style w:type="character" w:styleId="ListLabel758">
    <w:name w:val="ListLabel 758"/>
    <w:qFormat/>
    <w:rPr>
      <w:rFonts w:cs="Wingdings"/>
    </w:rPr>
  </w:style>
  <w:style w:type="character" w:styleId="ListLabel759">
    <w:name w:val="ListLabel 759"/>
    <w:qFormat/>
    <w:rPr>
      <w:rFonts w:cs="Wingdings"/>
    </w:rPr>
  </w:style>
  <w:style w:type="character" w:styleId="ListLabel760">
    <w:name w:val="ListLabel 760"/>
    <w:qFormat/>
    <w:rPr>
      <w:rFonts w:cs="Wingdings"/>
    </w:rPr>
  </w:style>
  <w:style w:type="character" w:styleId="ListLabel761">
    <w:name w:val="ListLabel 761"/>
    <w:qFormat/>
    <w:rPr>
      <w:rFonts w:cs="Wingdings"/>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Times New Roman"/>
    </w:rPr>
  </w:style>
  <w:style w:type="character" w:styleId="ListLabel790">
    <w:name w:val="ListLabel 790"/>
    <w:qFormat/>
    <w:rPr>
      <w:rFonts w:cs="Times New Roman"/>
    </w:rPr>
  </w:style>
  <w:style w:type="character" w:styleId="ListLabel791">
    <w:name w:val="ListLabel 791"/>
    <w:qFormat/>
    <w:rPr>
      <w:rFonts w:cs="Times New Roman"/>
    </w:rPr>
  </w:style>
  <w:style w:type="character" w:styleId="ListLabel792">
    <w:name w:val="ListLabel 792"/>
    <w:qFormat/>
    <w:rPr>
      <w:rFonts w:cs="Times New Roman"/>
    </w:rPr>
  </w:style>
  <w:style w:type="character" w:styleId="ListLabel793">
    <w:name w:val="ListLabel 793"/>
    <w:qFormat/>
    <w:rPr>
      <w:rFonts w:cs="Times New Roman"/>
    </w:rPr>
  </w:style>
  <w:style w:type="character" w:styleId="ListLabel794">
    <w:name w:val="ListLabel 794"/>
    <w:qFormat/>
    <w:rPr>
      <w:rFonts w:cs="Times New Roman"/>
    </w:rPr>
  </w:style>
  <w:style w:type="character" w:styleId="ListLabel795">
    <w:name w:val="ListLabel 795"/>
    <w:qFormat/>
    <w:rPr>
      <w:rFonts w:cs="Times New Roman"/>
    </w:rPr>
  </w:style>
  <w:style w:type="character" w:styleId="ListLabel796">
    <w:name w:val="ListLabel 796"/>
    <w:qFormat/>
    <w:rPr>
      <w:rFonts w:cs="Times New Roman"/>
    </w:rPr>
  </w:style>
  <w:style w:type="character" w:styleId="ListLabel797">
    <w:name w:val="ListLabel 797"/>
    <w:qFormat/>
    <w:rPr>
      <w:rFonts w:cs="Times New Roman"/>
    </w:rPr>
  </w:style>
  <w:style w:type="character" w:styleId="ListLabel798">
    <w:name w:val="ListLabel 798"/>
    <w:qFormat/>
    <w:rPr>
      <w:rFonts w:cs="Times New Roman"/>
    </w:rPr>
  </w:style>
  <w:style w:type="character" w:styleId="ListLabel799">
    <w:name w:val="ListLabel 799"/>
    <w:qFormat/>
    <w:rPr>
      <w:rFonts w:cs="Times New Roman"/>
    </w:rPr>
  </w:style>
  <w:style w:type="character" w:styleId="ListLabel800">
    <w:name w:val="ListLabel 800"/>
    <w:qFormat/>
    <w:rPr>
      <w:rFonts w:cs="Times New Roman"/>
    </w:rPr>
  </w:style>
  <w:style w:type="character" w:styleId="ListLabel801">
    <w:name w:val="ListLabel 801"/>
    <w:qFormat/>
    <w:rPr>
      <w:rFonts w:cs="Symbol"/>
      <w:color w:val="00000A"/>
    </w:rPr>
  </w:style>
  <w:style w:type="character" w:styleId="ListLabel802">
    <w:name w:val="ListLabel 802"/>
    <w:qFormat/>
    <w:rPr>
      <w:rFonts w:cs="Wingdings"/>
    </w:rPr>
  </w:style>
  <w:style w:type="character" w:styleId="ListLabel803">
    <w:name w:val="ListLabel 803"/>
    <w:qFormat/>
    <w:rPr>
      <w:rFonts w:cs="Wingdings"/>
    </w:rPr>
  </w:style>
  <w:style w:type="character" w:styleId="ListLabel804">
    <w:name w:val="ListLabel 804"/>
    <w:qFormat/>
    <w:rPr>
      <w:rFonts w:cs="Wingdings"/>
    </w:rPr>
  </w:style>
  <w:style w:type="character" w:styleId="ListLabel805">
    <w:name w:val="ListLabel 805"/>
    <w:qFormat/>
    <w:rPr>
      <w:rFonts w:cs="Wingdings"/>
    </w:rPr>
  </w:style>
  <w:style w:type="character" w:styleId="ListLabel806">
    <w:name w:val="ListLabel 806"/>
    <w:qFormat/>
    <w:rPr>
      <w:rFonts w:cs="Wingdings"/>
    </w:rPr>
  </w:style>
  <w:style w:type="character" w:styleId="ListLabel807">
    <w:name w:val="ListLabel 807"/>
    <w:qFormat/>
    <w:rPr>
      <w:rFonts w:cs="Wingdings"/>
    </w:rPr>
  </w:style>
  <w:style w:type="character" w:styleId="ListLabel808">
    <w:name w:val="ListLabel 808"/>
    <w:qFormat/>
    <w:rPr>
      <w:rFonts w:cs="Wingdings"/>
    </w:rPr>
  </w:style>
  <w:style w:type="character" w:styleId="ListLabel809">
    <w:name w:val="ListLabel 809"/>
    <w:qFormat/>
    <w:rPr>
      <w:rFonts w:cs="Wingdings"/>
    </w:rPr>
  </w:style>
  <w:style w:type="character" w:styleId="ListLabel810">
    <w:name w:val="ListLabel 810"/>
    <w:qFormat/>
    <w:rPr>
      <w:rFonts w:cs="OpenSymbol"/>
    </w:rPr>
  </w:style>
  <w:style w:type="character" w:styleId="ListLabel811">
    <w:name w:val="ListLabel 811"/>
    <w:qFormat/>
    <w:rPr>
      <w:rFonts w:cs="OpenSymbol"/>
    </w:rPr>
  </w:style>
  <w:style w:type="character" w:styleId="ListLabel812">
    <w:name w:val="ListLabel 812"/>
    <w:qFormat/>
    <w:rPr>
      <w:rFonts w:cs="OpenSymbol"/>
    </w:rPr>
  </w:style>
  <w:style w:type="character" w:styleId="ListLabel813">
    <w:name w:val="ListLabel 813"/>
    <w:qFormat/>
    <w:rPr>
      <w:rFonts w:cs="OpenSymbol"/>
    </w:rPr>
  </w:style>
  <w:style w:type="character" w:styleId="ListLabel814">
    <w:name w:val="ListLabel 814"/>
    <w:qFormat/>
    <w:rPr>
      <w:rFonts w:cs="OpenSymbol"/>
    </w:rPr>
  </w:style>
  <w:style w:type="character" w:styleId="ListLabel815">
    <w:name w:val="ListLabel 815"/>
    <w:qFormat/>
    <w:rPr>
      <w:rFonts w:cs="OpenSymbol"/>
    </w:rPr>
  </w:style>
  <w:style w:type="character" w:styleId="ListLabel816">
    <w:name w:val="ListLabel 816"/>
    <w:qFormat/>
    <w:rPr>
      <w:rFonts w:cs="OpenSymbol"/>
    </w:rPr>
  </w:style>
  <w:style w:type="character" w:styleId="ListLabel817">
    <w:name w:val="ListLabel 817"/>
    <w:qFormat/>
    <w:rPr>
      <w:rFonts w:cs="OpenSymbol"/>
    </w:rPr>
  </w:style>
  <w:style w:type="character" w:styleId="ListLabel818">
    <w:name w:val="ListLabel 818"/>
    <w:qFormat/>
    <w:rPr>
      <w:rFonts w:cs="OpenSymbol"/>
    </w:rPr>
  </w:style>
  <w:style w:type="character" w:styleId="ListLabel819">
    <w:name w:val="ListLabel 819"/>
    <w:qFormat/>
    <w:rPr>
      <w:rFonts w:cs="OpenSymbol"/>
    </w:rPr>
  </w:style>
  <w:style w:type="character" w:styleId="ListLabel820">
    <w:name w:val="ListLabel 820"/>
    <w:qFormat/>
    <w:rPr>
      <w:rFonts w:cs="OpenSymbol"/>
    </w:rPr>
  </w:style>
  <w:style w:type="character" w:styleId="ListLabel821">
    <w:name w:val="ListLabel 821"/>
    <w:qFormat/>
    <w:rPr>
      <w:rFonts w:cs="OpenSymbol"/>
    </w:rPr>
  </w:style>
  <w:style w:type="character" w:styleId="ListLabel822">
    <w:name w:val="ListLabel 822"/>
    <w:qFormat/>
    <w:rPr>
      <w:rFonts w:cs="OpenSymbol"/>
    </w:rPr>
  </w:style>
  <w:style w:type="character" w:styleId="ListLabel823">
    <w:name w:val="ListLabel 823"/>
    <w:qFormat/>
    <w:rPr>
      <w:rFonts w:cs="OpenSymbol"/>
    </w:rPr>
  </w:style>
  <w:style w:type="character" w:styleId="ListLabel824">
    <w:name w:val="ListLabel 824"/>
    <w:qFormat/>
    <w:rPr>
      <w:rFonts w:cs="OpenSymbol"/>
    </w:rPr>
  </w:style>
  <w:style w:type="character" w:styleId="ListLabel825">
    <w:name w:val="ListLabel 825"/>
    <w:qFormat/>
    <w:rPr>
      <w:rFonts w:cs="OpenSymbol"/>
    </w:rPr>
  </w:style>
  <w:style w:type="character" w:styleId="ListLabel826">
    <w:name w:val="ListLabel 826"/>
    <w:qFormat/>
    <w:rPr>
      <w:rFonts w:cs="OpenSymbol"/>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Times New Roman"/>
    </w:rPr>
  </w:style>
  <w:style w:type="character" w:styleId="ListLabel838">
    <w:name w:val="ListLabel 838"/>
    <w:qFormat/>
    <w:rPr>
      <w:rFonts w:cs="Times New Roman"/>
    </w:rPr>
  </w:style>
  <w:style w:type="character" w:styleId="ListLabel839">
    <w:name w:val="ListLabel 839"/>
    <w:qFormat/>
    <w:rPr>
      <w:rFonts w:cs="Times New Roman"/>
    </w:rPr>
  </w:style>
  <w:style w:type="character" w:styleId="ListLabel840">
    <w:name w:val="ListLabel 840"/>
    <w:qFormat/>
    <w:rPr>
      <w:rFonts w:cs="Times New Roman"/>
    </w:rPr>
  </w:style>
  <w:style w:type="character" w:styleId="ListLabel841">
    <w:name w:val="ListLabel 841"/>
    <w:qFormat/>
    <w:rPr>
      <w:rFonts w:cs="Times New Roman"/>
    </w:rPr>
  </w:style>
  <w:style w:type="character" w:styleId="ListLabel842">
    <w:name w:val="ListLabel 842"/>
    <w:qFormat/>
    <w:rPr>
      <w:rFonts w:cs="Times New Roman"/>
    </w:rPr>
  </w:style>
  <w:style w:type="character" w:styleId="ListLabel843">
    <w:name w:val="ListLabel 843"/>
    <w:qFormat/>
    <w:rPr>
      <w:rFonts w:cs="Times New Roman"/>
    </w:rPr>
  </w:style>
  <w:style w:type="character" w:styleId="ListLabel844">
    <w:name w:val="ListLabel 844"/>
    <w:qFormat/>
    <w:rPr>
      <w:rFonts w:cs="Times New Roman"/>
    </w:rPr>
  </w:style>
  <w:style w:type="character" w:styleId="ListLabel845">
    <w:name w:val="ListLabel 845"/>
    <w:qFormat/>
    <w:rPr>
      <w:rFonts w:cs="Times New Roman"/>
    </w:rPr>
  </w:style>
  <w:style w:type="character" w:styleId="ListLabel846">
    <w:name w:val="ListLabel 846"/>
    <w:qFormat/>
    <w:rPr>
      <w:rFonts w:cs="Times New Roman"/>
    </w:rPr>
  </w:style>
  <w:style w:type="character" w:styleId="ListLabel847">
    <w:name w:val="ListLabel 847"/>
    <w:qFormat/>
    <w:rPr>
      <w:rFonts w:cs="Times New Roman"/>
    </w:rPr>
  </w:style>
  <w:style w:type="character" w:styleId="ListLabel848">
    <w:name w:val="ListLabel 848"/>
    <w:qFormat/>
    <w:rPr>
      <w:rFonts w:cs="Times New Roman"/>
    </w:rPr>
  </w:style>
  <w:style w:type="character" w:styleId="ListLabel849">
    <w:name w:val="ListLabel 849"/>
    <w:qFormat/>
    <w:rPr>
      <w:rFonts w:cs="Symbol"/>
      <w:color w:val="00000A"/>
    </w:rPr>
  </w:style>
  <w:style w:type="character" w:styleId="ListLabel850">
    <w:name w:val="ListLabel 850"/>
    <w:qFormat/>
    <w:rPr>
      <w:rFonts w:cs="Wingdings"/>
    </w:rPr>
  </w:style>
  <w:style w:type="character" w:styleId="ListLabel851">
    <w:name w:val="ListLabel 851"/>
    <w:qFormat/>
    <w:rPr>
      <w:rFonts w:cs="Wingdings"/>
    </w:rPr>
  </w:style>
  <w:style w:type="character" w:styleId="ListLabel852">
    <w:name w:val="ListLabel 852"/>
    <w:qFormat/>
    <w:rPr>
      <w:rFonts w:cs="Wingdings"/>
    </w:rPr>
  </w:style>
  <w:style w:type="character" w:styleId="ListLabel853">
    <w:name w:val="ListLabel 853"/>
    <w:qFormat/>
    <w:rPr>
      <w:rFonts w:cs="Wingdings"/>
    </w:rPr>
  </w:style>
  <w:style w:type="character" w:styleId="ListLabel854">
    <w:name w:val="ListLabel 854"/>
    <w:qFormat/>
    <w:rPr>
      <w:rFonts w:cs="Wingdings"/>
    </w:rPr>
  </w:style>
  <w:style w:type="character" w:styleId="ListLabel855">
    <w:name w:val="ListLabel 855"/>
    <w:qFormat/>
    <w:rPr>
      <w:rFonts w:cs="Wingdings"/>
    </w:rPr>
  </w:style>
  <w:style w:type="character" w:styleId="ListLabel856">
    <w:name w:val="ListLabel 856"/>
    <w:qFormat/>
    <w:rPr>
      <w:rFonts w:cs="Wingdings"/>
    </w:rPr>
  </w:style>
  <w:style w:type="character" w:styleId="ListLabel857">
    <w:name w:val="ListLabel 857"/>
    <w:qFormat/>
    <w:rPr>
      <w:rFonts w:cs="Wingdings"/>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StrongEmphasis">
    <w:name w:val="Strong Emphasis"/>
    <w:qFormat/>
    <w:rPr>
      <w:b/>
      <w:bCs/>
    </w:rPr>
  </w:style>
  <w:style w:type="character" w:styleId="ListLabel885">
    <w:name w:val="ListLabel 885"/>
    <w:qFormat/>
    <w:rPr>
      <w:rFonts w:cs="Times New Roman"/>
    </w:rPr>
  </w:style>
  <w:style w:type="character" w:styleId="ListLabel886">
    <w:name w:val="ListLabel 886"/>
    <w:qFormat/>
    <w:rPr>
      <w:rFonts w:cs="Times New Roman"/>
    </w:rPr>
  </w:style>
  <w:style w:type="character" w:styleId="ListLabel887">
    <w:name w:val="ListLabel 887"/>
    <w:qFormat/>
    <w:rPr>
      <w:rFonts w:cs="Times New Roman"/>
    </w:rPr>
  </w:style>
  <w:style w:type="character" w:styleId="ListLabel888">
    <w:name w:val="ListLabel 888"/>
    <w:qFormat/>
    <w:rPr>
      <w:rFonts w:cs="Times New Roman"/>
    </w:rPr>
  </w:style>
  <w:style w:type="character" w:styleId="ListLabel889">
    <w:name w:val="ListLabel 889"/>
    <w:qFormat/>
    <w:rPr>
      <w:rFonts w:cs="Times New Roman"/>
    </w:rPr>
  </w:style>
  <w:style w:type="character" w:styleId="ListLabel890">
    <w:name w:val="ListLabel 890"/>
    <w:qFormat/>
    <w:rPr>
      <w:rFonts w:cs="Times New Roman"/>
    </w:rPr>
  </w:style>
  <w:style w:type="character" w:styleId="ListLabel891">
    <w:name w:val="ListLabel 891"/>
    <w:qFormat/>
    <w:rPr>
      <w:rFonts w:cs="Times New Roman"/>
    </w:rPr>
  </w:style>
  <w:style w:type="character" w:styleId="ListLabel892">
    <w:name w:val="ListLabel 892"/>
    <w:qFormat/>
    <w:rPr>
      <w:rFonts w:cs="Times New Roman"/>
    </w:rPr>
  </w:style>
  <w:style w:type="character" w:styleId="ListLabel893">
    <w:name w:val="ListLabel 893"/>
    <w:qFormat/>
    <w:rPr>
      <w:rFonts w:cs="Times New Roman"/>
    </w:rPr>
  </w:style>
  <w:style w:type="character" w:styleId="ListLabel894">
    <w:name w:val="ListLabel 894"/>
    <w:qFormat/>
    <w:rPr>
      <w:rFonts w:cs="Times New Roman"/>
    </w:rPr>
  </w:style>
  <w:style w:type="character" w:styleId="ListLabel895">
    <w:name w:val="ListLabel 895"/>
    <w:qFormat/>
    <w:rPr>
      <w:rFonts w:cs="Times New Roman"/>
    </w:rPr>
  </w:style>
  <w:style w:type="character" w:styleId="ListLabel896">
    <w:name w:val="ListLabel 896"/>
    <w:qFormat/>
    <w:rPr>
      <w:rFonts w:cs="Times New Roman"/>
    </w:rPr>
  </w:style>
  <w:style w:type="character" w:styleId="ListLabel897">
    <w:name w:val="ListLabel 897"/>
    <w:qFormat/>
    <w:rPr>
      <w:rFonts w:cs="Symbol"/>
      <w:color w:val="00000A"/>
    </w:rPr>
  </w:style>
  <w:style w:type="character" w:styleId="ListLabel898">
    <w:name w:val="ListLabel 898"/>
    <w:qFormat/>
    <w:rPr>
      <w:rFonts w:cs="Wingdings"/>
    </w:rPr>
  </w:style>
  <w:style w:type="character" w:styleId="ListLabel899">
    <w:name w:val="ListLabel 899"/>
    <w:qFormat/>
    <w:rPr>
      <w:rFonts w:cs="Wingdings"/>
    </w:rPr>
  </w:style>
  <w:style w:type="character" w:styleId="ListLabel900">
    <w:name w:val="ListLabel 900"/>
    <w:qFormat/>
    <w:rPr>
      <w:rFonts w:cs="Wingdings"/>
    </w:rPr>
  </w:style>
  <w:style w:type="character" w:styleId="ListLabel901">
    <w:name w:val="ListLabel 901"/>
    <w:qFormat/>
    <w:rPr>
      <w:rFonts w:cs="Wingdings"/>
    </w:rPr>
  </w:style>
  <w:style w:type="character" w:styleId="ListLabel902">
    <w:name w:val="ListLabel 902"/>
    <w:qFormat/>
    <w:rPr>
      <w:rFonts w:cs="Wingdings"/>
    </w:rPr>
  </w:style>
  <w:style w:type="character" w:styleId="ListLabel903">
    <w:name w:val="ListLabel 903"/>
    <w:qFormat/>
    <w:rPr>
      <w:rFonts w:cs="Wingdings"/>
    </w:rPr>
  </w:style>
  <w:style w:type="character" w:styleId="ListLabel904">
    <w:name w:val="ListLabel 904"/>
    <w:qFormat/>
    <w:rPr>
      <w:rFonts w:cs="Wingdings"/>
    </w:rPr>
  </w:style>
  <w:style w:type="character" w:styleId="ListLabel905">
    <w:name w:val="ListLabel 905"/>
    <w:qFormat/>
    <w:rPr>
      <w:rFonts w:cs="Wingdings"/>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rPr>
  </w:style>
  <w:style w:type="character" w:styleId="ListLabel927">
    <w:name w:val="ListLabel 927"/>
    <w:qFormat/>
    <w:rPr>
      <w:rFonts w:cs="OpenSymbol"/>
    </w:rPr>
  </w:style>
  <w:style w:type="character" w:styleId="ListLabel928">
    <w:name w:val="ListLabel 928"/>
    <w:qFormat/>
    <w:rPr>
      <w:rFonts w:cs="OpenSymbol"/>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rPr>
  </w:style>
  <w:style w:type="character" w:styleId="ListLabel932">
    <w:name w:val="ListLabel 932"/>
    <w:qFormat/>
    <w:rPr>
      <w:rFonts w:cs="OpenSymbol"/>
    </w:rPr>
  </w:style>
  <w:style w:type="character" w:styleId="ListLabel933">
    <w:name w:val="ListLabel 933"/>
    <w:qFormat/>
    <w:rPr>
      <w:rFonts w:cs="OpenSymbol"/>
    </w:rPr>
  </w:style>
  <w:style w:type="character" w:styleId="ListLabel934">
    <w:name w:val="ListLabel 934"/>
    <w:qFormat/>
    <w:rPr>
      <w:rFonts w:cs="OpenSymbol"/>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cs="OpenSymbol"/>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rPr>
  </w:style>
  <w:style w:type="character" w:styleId="ListLabel941">
    <w:name w:val="ListLabel 941"/>
    <w:qFormat/>
    <w:rPr>
      <w:rFonts w:cs="OpenSymbol"/>
    </w:rPr>
  </w:style>
  <w:style w:type="character" w:styleId="ListLabel942">
    <w:name w:val="ListLabel 942"/>
    <w:qFormat/>
    <w:rPr>
      <w:rFonts w:cs="Times New Roman"/>
    </w:rPr>
  </w:style>
  <w:style w:type="character" w:styleId="ListLabel943">
    <w:name w:val="ListLabel 943"/>
    <w:qFormat/>
    <w:rPr>
      <w:rFonts w:cs="Times New Roman"/>
    </w:rPr>
  </w:style>
  <w:style w:type="character" w:styleId="ListLabel944">
    <w:name w:val="ListLabel 944"/>
    <w:qFormat/>
    <w:rPr>
      <w:rFonts w:cs="Times New Roman"/>
    </w:rPr>
  </w:style>
  <w:style w:type="character" w:styleId="ListLabel945">
    <w:name w:val="ListLabel 945"/>
    <w:qFormat/>
    <w:rPr>
      <w:rFonts w:cs="Times New Roman"/>
    </w:rPr>
  </w:style>
  <w:style w:type="character" w:styleId="ListLabel946">
    <w:name w:val="ListLabel 946"/>
    <w:qFormat/>
    <w:rPr>
      <w:rFonts w:cs="Times New Roman"/>
    </w:rPr>
  </w:style>
  <w:style w:type="character" w:styleId="ListLabel947">
    <w:name w:val="ListLabel 947"/>
    <w:qFormat/>
    <w:rPr>
      <w:rFonts w:cs="Times New Roman"/>
    </w:rPr>
  </w:style>
  <w:style w:type="character" w:styleId="ListLabel948">
    <w:name w:val="ListLabel 948"/>
    <w:qFormat/>
    <w:rPr>
      <w:rFonts w:cs="Times New Roman"/>
    </w:rPr>
  </w:style>
  <w:style w:type="character" w:styleId="ListLabel949">
    <w:name w:val="ListLabel 949"/>
    <w:qFormat/>
    <w:rPr>
      <w:rFonts w:cs="Times New Roman"/>
    </w:rPr>
  </w:style>
  <w:style w:type="character" w:styleId="ListLabel950">
    <w:name w:val="ListLabel 950"/>
    <w:qFormat/>
    <w:rPr>
      <w:rFonts w:cs="Times New Roman"/>
    </w:rPr>
  </w:style>
  <w:style w:type="character" w:styleId="ListLabel951">
    <w:name w:val="ListLabel 951"/>
    <w:qFormat/>
    <w:rPr>
      <w:rFonts w:cs="Times New Roman"/>
    </w:rPr>
  </w:style>
  <w:style w:type="character" w:styleId="ListLabel952">
    <w:name w:val="ListLabel 952"/>
    <w:qFormat/>
    <w:rPr>
      <w:rFonts w:cs="Times New Roman"/>
    </w:rPr>
  </w:style>
  <w:style w:type="character" w:styleId="ListLabel953">
    <w:name w:val="ListLabel 953"/>
    <w:qFormat/>
    <w:rPr>
      <w:rFonts w:cs="Times New Roman"/>
    </w:rPr>
  </w:style>
  <w:style w:type="character" w:styleId="ListLabel954">
    <w:name w:val="ListLabel 954"/>
    <w:qFormat/>
    <w:rPr>
      <w:rFonts w:cs="Symbol"/>
      <w:color w:val="00000A"/>
    </w:rPr>
  </w:style>
  <w:style w:type="character" w:styleId="ListLabel955">
    <w:name w:val="ListLabel 955"/>
    <w:qFormat/>
    <w:rPr>
      <w:rFonts w:cs="Wingdings"/>
    </w:rPr>
  </w:style>
  <w:style w:type="character" w:styleId="ListLabel956">
    <w:name w:val="ListLabel 956"/>
    <w:qFormat/>
    <w:rPr>
      <w:rFonts w:cs="Wingdings"/>
    </w:rPr>
  </w:style>
  <w:style w:type="character" w:styleId="ListLabel957">
    <w:name w:val="ListLabel 957"/>
    <w:qFormat/>
    <w:rPr>
      <w:rFonts w:cs="Wingdings"/>
    </w:rPr>
  </w:style>
  <w:style w:type="character" w:styleId="ListLabel958">
    <w:name w:val="ListLabel 958"/>
    <w:qFormat/>
    <w:rPr>
      <w:rFonts w:cs="Wingdings"/>
    </w:rPr>
  </w:style>
  <w:style w:type="character" w:styleId="ListLabel959">
    <w:name w:val="ListLabel 959"/>
    <w:qFormat/>
    <w:rPr>
      <w:rFonts w:cs="Wingdings"/>
    </w:rPr>
  </w:style>
  <w:style w:type="character" w:styleId="ListLabel960">
    <w:name w:val="ListLabel 960"/>
    <w:qFormat/>
    <w:rPr>
      <w:rFonts w:cs="Wingdings"/>
    </w:rPr>
  </w:style>
  <w:style w:type="character" w:styleId="ListLabel961">
    <w:name w:val="ListLabel 961"/>
    <w:qFormat/>
    <w:rPr>
      <w:rFonts w:cs="Wingdings"/>
    </w:rPr>
  </w:style>
  <w:style w:type="character" w:styleId="ListLabel962">
    <w:name w:val="ListLabel 962"/>
    <w:qFormat/>
    <w:rPr>
      <w:rFonts w:cs="Wingdings"/>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cs="OpenSymbol"/>
    </w:rPr>
  </w:style>
  <w:style w:type="character" w:styleId="ListLabel998">
    <w:name w:val="ListLabel 998"/>
    <w:qFormat/>
    <w:rPr>
      <w:rFonts w:cs="OpenSymbol"/>
    </w:rPr>
  </w:style>
  <w:style w:type="character" w:styleId="ListLabel999">
    <w:name w:val="ListLabel 999"/>
    <w:qFormat/>
    <w:rPr>
      <w:rFonts w:cs="Times New Roman"/>
    </w:rPr>
  </w:style>
  <w:style w:type="character" w:styleId="ListLabel1000">
    <w:name w:val="ListLabel 1000"/>
    <w:qFormat/>
    <w:rPr>
      <w:rFonts w:cs="Times New Roman"/>
    </w:rPr>
  </w:style>
  <w:style w:type="character" w:styleId="ListLabel1001">
    <w:name w:val="ListLabel 1001"/>
    <w:qFormat/>
    <w:rPr>
      <w:rFonts w:cs="Times New Roman"/>
    </w:rPr>
  </w:style>
  <w:style w:type="character" w:styleId="ListLabel1002">
    <w:name w:val="ListLabel 1002"/>
    <w:qFormat/>
    <w:rPr>
      <w:rFonts w:cs="Times New Roman"/>
    </w:rPr>
  </w:style>
  <w:style w:type="character" w:styleId="ListLabel1003">
    <w:name w:val="ListLabel 1003"/>
    <w:qFormat/>
    <w:rPr>
      <w:rFonts w:cs="Times New Roman"/>
    </w:rPr>
  </w:style>
  <w:style w:type="character" w:styleId="ListLabel1004">
    <w:name w:val="ListLabel 1004"/>
    <w:qFormat/>
    <w:rPr>
      <w:rFonts w:cs="Times New Roman"/>
    </w:rPr>
  </w:style>
  <w:style w:type="character" w:styleId="ListLabel1005">
    <w:name w:val="ListLabel 1005"/>
    <w:qFormat/>
    <w:rPr>
      <w:rFonts w:cs="Times New Roman"/>
    </w:rPr>
  </w:style>
  <w:style w:type="character" w:styleId="ListLabel1006">
    <w:name w:val="ListLabel 1006"/>
    <w:qFormat/>
    <w:rPr>
      <w:rFonts w:cs="Times New Roman"/>
    </w:rPr>
  </w:style>
  <w:style w:type="character" w:styleId="ListLabel1007">
    <w:name w:val="ListLabel 1007"/>
    <w:qFormat/>
    <w:rPr>
      <w:rFonts w:cs="Times New Roman"/>
    </w:rPr>
  </w:style>
  <w:style w:type="character" w:styleId="ListLabel1008">
    <w:name w:val="ListLabel 1008"/>
    <w:qFormat/>
    <w:rPr>
      <w:rFonts w:cs="Times New Roman"/>
    </w:rPr>
  </w:style>
  <w:style w:type="character" w:styleId="ListLabel1009">
    <w:name w:val="ListLabel 1009"/>
    <w:qFormat/>
    <w:rPr>
      <w:rFonts w:cs="Times New Roman"/>
    </w:rPr>
  </w:style>
  <w:style w:type="character" w:styleId="ListLabel1010">
    <w:name w:val="ListLabel 1010"/>
    <w:qFormat/>
    <w:rPr>
      <w:rFonts w:cs="Times New Roman"/>
    </w:rPr>
  </w:style>
  <w:style w:type="character" w:styleId="ListLabel1011">
    <w:name w:val="ListLabel 1011"/>
    <w:qFormat/>
    <w:rPr>
      <w:rFonts w:cs="Symbol"/>
      <w:color w:val="00000A"/>
    </w:rPr>
  </w:style>
  <w:style w:type="character" w:styleId="ListLabel1012">
    <w:name w:val="ListLabel 1012"/>
    <w:qFormat/>
    <w:rPr>
      <w:rFonts w:cs="Wingdings"/>
    </w:rPr>
  </w:style>
  <w:style w:type="character" w:styleId="ListLabel1013">
    <w:name w:val="ListLabel 1013"/>
    <w:qFormat/>
    <w:rPr>
      <w:rFonts w:cs="Wingdings"/>
    </w:rPr>
  </w:style>
  <w:style w:type="character" w:styleId="ListLabel1014">
    <w:name w:val="ListLabel 1014"/>
    <w:qFormat/>
    <w:rPr>
      <w:rFonts w:cs="Wingdings"/>
    </w:rPr>
  </w:style>
  <w:style w:type="character" w:styleId="ListLabel1015">
    <w:name w:val="ListLabel 1015"/>
    <w:qFormat/>
    <w:rPr>
      <w:rFonts w:cs="Wingdings"/>
    </w:rPr>
  </w:style>
  <w:style w:type="character" w:styleId="ListLabel1016">
    <w:name w:val="ListLabel 1016"/>
    <w:qFormat/>
    <w:rPr>
      <w:rFonts w:cs="Wingdings"/>
    </w:rPr>
  </w:style>
  <w:style w:type="character" w:styleId="ListLabel1017">
    <w:name w:val="ListLabel 1017"/>
    <w:qFormat/>
    <w:rPr>
      <w:rFonts w:cs="Wingdings"/>
    </w:rPr>
  </w:style>
  <w:style w:type="character" w:styleId="ListLabel1018">
    <w:name w:val="ListLabel 1018"/>
    <w:qFormat/>
    <w:rPr>
      <w:rFonts w:cs="Wingdings"/>
    </w:rPr>
  </w:style>
  <w:style w:type="character" w:styleId="ListLabel1019">
    <w:name w:val="ListLabel 1019"/>
    <w:qFormat/>
    <w:rPr>
      <w:rFonts w:cs="Wingdings"/>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rFonts w:cs="OpenSymbol"/>
    </w:rPr>
  </w:style>
  <w:style w:type="character" w:styleId="ListLabel1043">
    <w:name w:val="ListLabel 1043"/>
    <w:qFormat/>
    <w:rPr>
      <w:rFonts w:cs="OpenSymbol"/>
    </w:rPr>
  </w:style>
  <w:style w:type="character" w:styleId="ListLabel1044">
    <w:name w:val="ListLabel 1044"/>
    <w:qFormat/>
    <w:rPr>
      <w:rFonts w:cs="OpenSymbol"/>
    </w:rPr>
  </w:style>
  <w:style w:type="character" w:styleId="ListLabel1045">
    <w:name w:val="ListLabel 1045"/>
    <w:qFormat/>
    <w:rPr>
      <w:rFonts w:cs="OpenSymbol"/>
    </w:rPr>
  </w:style>
  <w:style w:type="character" w:styleId="ListLabel1046">
    <w:name w:val="ListLabel 1046"/>
    <w:qFormat/>
    <w:rPr>
      <w:rFonts w:cs="OpenSymbol"/>
    </w:rPr>
  </w:style>
  <w:style w:type="character" w:styleId="ListLabel1047">
    <w:name w:val="ListLabel 1047"/>
    <w:qFormat/>
    <w:rPr>
      <w:rFonts w:cs="OpenSymbol"/>
    </w:rPr>
  </w:style>
  <w:style w:type="character" w:styleId="ListLabel1048">
    <w:name w:val="ListLabel 1048"/>
    <w:qFormat/>
    <w:rPr>
      <w:rFonts w:cs="OpenSymbol"/>
    </w:rPr>
  </w:style>
  <w:style w:type="character" w:styleId="ListLabel1049">
    <w:name w:val="ListLabel 1049"/>
    <w:qFormat/>
    <w:rPr>
      <w:rFonts w:cs="OpenSymbol"/>
    </w:rPr>
  </w:style>
  <w:style w:type="character" w:styleId="ListLabel1050">
    <w:name w:val="ListLabel 1050"/>
    <w:qFormat/>
    <w:rPr>
      <w:rFonts w:cs="OpenSymbol"/>
    </w:rPr>
  </w:style>
  <w:style w:type="character" w:styleId="ListLabel1051">
    <w:name w:val="ListLabel 1051"/>
    <w:qFormat/>
    <w:rPr>
      <w:rFonts w:cs="OpenSymbol"/>
    </w:rPr>
  </w:style>
  <w:style w:type="character" w:styleId="ListLabel1052">
    <w:name w:val="ListLabel 1052"/>
    <w:qFormat/>
    <w:rPr>
      <w:rFonts w:cs="OpenSymbol"/>
    </w:rPr>
  </w:style>
  <w:style w:type="character" w:styleId="ListLabel1053">
    <w:name w:val="ListLabel 1053"/>
    <w:qFormat/>
    <w:rPr>
      <w:rFonts w:cs="OpenSymbol"/>
    </w:rPr>
  </w:style>
  <w:style w:type="character" w:styleId="ListLabel1054">
    <w:name w:val="ListLabel 1054"/>
    <w:qFormat/>
    <w:rPr>
      <w:rFonts w:cs="OpenSymbol"/>
    </w:rPr>
  </w:style>
  <w:style w:type="character" w:styleId="ListLabel1055">
    <w:name w:val="ListLabel 1055"/>
    <w:qFormat/>
    <w:rPr>
      <w:rFonts w:cs="OpenSymbol"/>
    </w:rPr>
  </w:style>
  <w:style w:type="character" w:styleId="ListLabel1056">
    <w:name w:val="ListLabel 1056"/>
    <w:qFormat/>
    <w:rPr>
      <w:rFonts w:cs="Times New Roman"/>
    </w:rPr>
  </w:style>
  <w:style w:type="character" w:styleId="ListLabel1057">
    <w:name w:val="ListLabel 1057"/>
    <w:qFormat/>
    <w:rPr>
      <w:rFonts w:cs="Times New Roman"/>
    </w:rPr>
  </w:style>
  <w:style w:type="character" w:styleId="ListLabel1058">
    <w:name w:val="ListLabel 1058"/>
    <w:qFormat/>
    <w:rPr>
      <w:rFonts w:cs="Times New Roman"/>
    </w:rPr>
  </w:style>
  <w:style w:type="character" w:styleId="ListLabel1059">
    <w:name w:val="ListLabel 1059"/>
    <w:qFormat/>
    <w:rPr>
      <w:rFonts w:cs="Times New Roman"/>
    </w:rPr>
  </w:style>
  <w:style w:type="character" w:styleId="ListLabel1060">
    <w:name w:val="ListLabel 1060"/>
    <w:qFormat/>
    <w:rPr>
      <w:rFonts w:cs="Times New Roman"/>
    </w:rPr>
  </w:style>
  <w:style w:type="character" w:styleId="ListLabel1061">
    <w:name w:val="ListLabel 1061"/>
    <w:qFormat/>
    <w:rPr>
      <w:rFonts w:cs="Times New Roman"/>
    </w:rPr>
  </w:style>
  <w:style w:type="character" w:styleId="ListLabel1062">
    <w:name w:val="ListLabel 1062"/>
    <w:qFormat/>
    <w:rPr>
      <w:rFonts w:cs="Times New Roman"/>
    </w:rPr>
  </w:style>
  <w:style w:type="character" w:styleId="ListLabel1063">
    <w:name w:val="ListLabel 1063"/>
    <w:qFormat/>
    <w:rPr>
      <w:rFonts w:cs="Times New Roman"/>
    </w:rPr>
  </w:style>
  <w:style w:type="character" w:styleId="ListLabel1064">
    <w:name w:val="ListLabel 1064"/>
    <w:qFormat/>
    <w:rPr>
      <w:rFonts w:cs="Times New Roman"/>
    </w:rPr>
  </w:style>
  <w:style w:type="character" w:styleId="ListLabel1065">
    <w:name w:val="ListLabel 1065"/>
    <w:qFormat/>
    <w:rPr>
      <w:rFonts w:cs="Times New Roman"/>
    </w:rPr>
  </w:style>
  <w:style w:type="character" w:styleId="ListLabel1066">
    <w:name w:val="ListLabel 1066"/>
    <w:qFormat/>
    <w:rPr>
      <w:rFonts w:cs="Times New Roman"/>
    </w:rPr>
  </w:style>
  <w:style w:type="character" w:styleId="ListLabel1067">
    <w:name w:val="ListLabel 1067"/>
    <w:qFormat/>
    <w:rPr>
      <w:rFonts w:cs="Times New Roman"/>
    </w:rPr>
  </w:style>
  <w:style w:type="character" w:styleId="ListLabel1068">
    <w:name w:val="ListLabel 1068"/>
    <w:qFormat/>
    <w:rPr>
      <w:rFonts w:cs="Symbol"/>
      <w:color w:val="00000A"/>
    </w:rPr>
  </w:style>
  <w:style w:type="character" w:styleId="ListLabel1069">
    <w:name w:val="ListLabel 1069"/>
    <w:qFormat/>
    <w:rPr>
      <w:rFonts w:cs="Wingdings"/>
    </w:rPr>
  </w:style>
  <w:style w:type="character" w:styleId="ListLabel1070">
    <w:name w:val="ListLabel 1070"/>
    <w:qFormat/>
    <w:rPr>
      <w:rFonts w:cs="Wingdings"/>
    </w:rPr>
  </w:style>
  <w:style w:type="character" w:styleId="ListLabel1071">
    <w:name w:val="ListLabel 1071"/>
    <w:qFormat/>
    <w:rPr>
      <w:rFonts w:cs="Wingdings"/>
    </w:rPr>
  </w:style>
  <w:style w:type="character" w:styleId="ListLabel1072">
    <w:name w:val="ListLabel 1072"/>
    <w:qFormat/>
    <w:rPr>
      <w:rFonts w:cs="Wingdings"/>
    </w:rPr>
  </w:style>
  <w:style w:type="character" w:styleId="ListLabel1073">
    <w:name w:val="ListLabel 1073"/>
    <w:qFormat/>
    <w:rPr>
      <w:rFonts w:cs="Wingdings"/>
    </w:rPr>
  </w:style>
  <w:style w:type="character" w:styleId="ListLabel1074">
    <w:name w:val="ListLabel 1074"/>
    <w:qFormat/>
    <w:rPr>
      <w:rFonts w:cs="Wingdings"/>
    </w:rPr>
  </w:style>
  <w:style w:type="character" w:styleId="ListLabel1075">
    <w:name w:val="ListLabel 1075"/>
    <w:qFormat/>
    <w:rPr>
      <w:rFonts w:cs="Wingdings"/>
    </w:rPr>
  </w:style>
  <w:style w:type="character" w:styleId="ListLabel1076">
    <w:name w:val="ListLabel 1076"/>
    <w:qFormat/>
    <w:rPr>
      <w:rFonts w:cs="Wingdings"/>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OpenSymbol"/>
    </w:rPr>
  </w:style>
  <w:style w:type="character" w:styleId="ListLabel1082">
    <w:name w:val="ListLabel 1082"/>
    <w:qFormat/>
    <w:rPr>
      <w:rFonts w:cs="OpenSymbol"/>
    </w:rPr>
  </w:style>
  <w:style w:type="character" w:styleId="ListLabel1083">
    <w:name w:val="ListLabel 1083"/>
    <w:qFormat/>
    <w:rPr>
      <w:rFonts w:cs="OpenSymbol"/>
    </w:rPr>
  </w:style>
  <w:style w:type="character" w:styleId="ListLabel1084">
    <w:name w:val="ListLabel 1084"/>
    <w:qFormat/>
    <w:rPr>
      <w:rFonts w:cs="OpenSymbol"/>
    </w:rPr>
  </w:style>
  <w:style w:type="character" w:styleId="ListLabel1085">
    <w:name w:val="ListLabel 1085"/>
    <w:qFormat/>
    <w:rPr>
      <w:rFonts w:cs="OpenSymbol"/>
    </w:rPr>
  </w:style>
  <w:style w:type="character" w:styleId="ListLabel1086">
    <w:name w:val="ListLabel 1086"/>
    <w:qFormat/>
    <w:rPr>
      <w:rFonts w:cs="OpenSymbol"/>
    </w:rPr>
  </w:style>
  <w:style w:type="character" w:styleId="ListLabel1087">
    <w:name w:val="ListLabel 1087"/>
    <w:qFormat/>
    <w:rPr>
      <w:rFonts w:cs="OpenSymbol"/>
    </w:rPr>
  </w:style>
  <w:style w:type="character" w:styleId="ListLabel1088">
    <w:name w:val="ListLabel 1088"/>
    <w:qFormat/>
    <w:rPr>
      <w:rFonts w:cs="OpenSymbol"/>
    </w:rPr>
  </w:style>
  <w:style w:type="character" w:styleId="ListLabel1089">
    <w:name w:val="ListLabel 1089"/>
    <w:qFormat/>
    <w:rPr>
      <w:rFonts w:cs="OpenSymbol"/>
    </w:rPr>
  </w:style>
  <w:style w:type="character" w:styleId="ListLabel1090">
    <w:name w:val="ListLabel 1090"/>
    <w:qFormat/>
    <w:rPr>
      <w:rFonts w:cs="OpenSymbol"/>
    </w:rPr>
  </w:style>
  <w:style w:type="character" w:styleId="ListLabel1091">
    <w:name w:val="ListLabel 1091"/>
    <w:qFormat/>
    <w:rPr>
      <w:rFonts w:cs="OpenSymbol"/>
    </w:rPr>
  </w:style>
  <w:style w:type="character" w:styleId="ListLabel1092">
    <w:name w:val="ListLabel 1092"/>
    <w:qFormat/>
    <w:rPr>
      <w:rFonts w:cs="OpenSymbol"/>
    </w:rPr>
  </w:style>
  <w:style w:type="character" w:styleId="ListLabel1093">
    <w:name w:val="ListLabel 1093"/>
    <w:qFormat/>
    <w:rPr>
      <w:rFonts w:cs="OpenSymbol"/>
    </w:rPr>
  </w:style>
  <w:style w:type="character" w:styleId="ListLabel1094">
    <w:name w:val="ListLabel 1094"/>
    <w:qFormat/>
    <w:rPr>
      <w:rFonts w:cs="OpenSymbol"/>
    </w:rPr>
  </w:style>
  <w:style w:type="character" w:styleId="ListLabel1095">
    <w:name w:val="ListLabel 1095"/>
    <w:qFormat/>
    <w:rPr>
      <w:rFonts w:cs="OpenSymbol"/>
    </w:rPr>
  </w:style>
  <w:style w:type="character" w:styleId="ListLabel1096">
    <w:name w:val="ListLabel 1096"/>
    <w:qFormat/>
    <w:rPr>
      <w:rFonts w:cs="OpenSymbol"/>
    </w:rPr>
  </w:style>
  <w:style w:type="character" w:styleId="ListLabel1097">
    <w:name w:val="ListLabel 1097"/>
    <w:qFormat/>
    <w:rPr>
      <w:rFonts w:cs="OpenSymbol"/>
    </w:rPr>
  </w:style>
  <w:style w:type="character" w:styleId="ListLabel1098">
    <w:name w:val="ListLabel 1098"/>
    <w:qFormat/>
    <w:rPr>
      <w:rFonts w:cs="OpenSymbol"/>
    </w:rPr>
  </w:style>
  <w:style w:type="character" w:styleId="ListLabel1099">
    <w:name w:val="ListLabel 1099"/>
    <w:qFormat/>
    <w:rPr>
      <w:rFonts w:cs="OpenSymbol"/>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cs="OpenSymbol"/>
    </w:rPr>
  </w:style>
  <w:style w:type="character" w:styleId="ListLabel1122">
    <w:name w:val="ListLabel 1122"/>
    <w:qFormat/>
    <w:rPr>
      <w:rFonts w:cs="OpenSymbol"/>
    </w:rPr>
  </w:style>
  <w:style w:type="character" w:styleId="ListLabel1123">
    <w:name w:val="ListLabel 1123"/>
    <w:qFormat/>
    <w:rPr>
      <w:rFonts w:cs="OpenSymbol"/>
    </w:rPr>
  </w:style>
  <w:style w:type="character" w:styleId="ListLabel1124">
    <w:name w:val="ListLabel 1124"/>
    <w:qFormat/>
    <w:rPr>
      <w:rFonts w:cs="OpenSymbol"/>
    </w:rPr>
  </w:style>
  <w:style w:type="character" w:styleId="ListLabel1125">
    <w:name w:val="ListLabel 1125"/>
    <w:qFormat/>
    <w:rPr>
      <w:rFonts w:cs="OpenSymbol"/>
    </w:rPr>
  </w:style>
  <w:style w:type="character" w:styleId="ListLabel1126">
    <w:name w:val="ListLabel 1126"/>
    <w:qFormat/>
    <w:rPr>
      <w:rFonts w:cs="OpenSymbol"/>
    </w:rPr>
  </w:style>
  <w:style w:type="character" w:styleId="ListLabel1127">
    <w:name w:val="ListLabel 1127"/>
    <w:qFormat/>
    <w:rPr>
      <w:rFonts w:cs="OpenSymbol"/>
    </w:rPr>
  </w:style>
  <w:style w:type="character" w:styleId="ListLabel1128">
    <w:name w:val="ListLabel 1128"/>
    <w:qFormat/>
    <w:rPr>
      <w:rFonts w:cs="OpenSymbol"/>
    </w:rPr>
  </w:style>
  <w:style w:type="character" w:styleId="ListLabel1129">
    <w:name w:val="ListLabel 1129"/>
    <w:qFormat/>
    <w:rPr>
      <w:rFonts w:cs="OpenSymbol"/>
    </w:rPr>
  </w:style>
  <w:style w:type="character" w:styleId="ListLabel1130">
    <w:name w:val="ListLabel 1130"/>
    <w:qFormat/>
    <w:rPr>
      <w:rFonts w:cs="OpenSymbol"/>
    </w:rPr>
  </w:style>
  <w:style w:type="character" w:styleId="ListLabel1131">
    <w:name w:val="ListLabel 1131"/>
    <w:qFormat/>
    <w:rPr>
      <w:rFonts w:cs="Times New Roman"/>
    </w:rPr>
  </w:style>
  <w:style w:type="character" w:styleId="ListLabel1132">
    <w:name w:val="ListLabel 1132"/>
    <w:qFormat/>
    <w:rPr>
      <w:rFonts w:cs="Times New Roman"/>
    </w:rPr>
  </w:style>
  <w:style w:type="character" w:styleId="ListLabel1133">
    <w:name w:val="ListLabel 1133"/>
    <w:qFormat/>
    <w:rPr>
      <w:rFonts w:cs="Times New Roman"/>
    </w:rPr>
  </w:style>
  <w:style w:type="character" w:styleId="ListLabel1134">
    <w:name w:val="ListLabel 1134"/>
    <w:qFormat/>
    <w:rPr>
      <w:rFonts w:cs="Times New Roman"/>
    </w:rPr>
  </w:style>
  <w:style w:type="character" w:styleId="ListLabel1135">
    <w:name w:val="ListLabel 1135"/>
    <w:qFormat/>
    <w:rPr>
      <w:rFonts w:cs="Times New Roman"/>
    </w:rPr>
  </w:style>
  <w:style w:type="character" w:styleId="ListLabel1136">
    <w:name w:val="ListLabel 1136"/>
    <w:qFormat/>
    <w:rPr>
      <w:rFonts w:cs="Times New Roman"/>
    </w:rPr>
  </w:style>
  <w:style w:type="character" w:styleId="ListLabel1137">
    <w:name w:val="ListLabel 1137"/>
    <w:qFormat/>
    <w:rPr>
      <w:rFonts w:cs="Times New Roman"/>
    </w:rPr>
  </w:style>
  <w:style w:type="character" w:styleId="ListLabel1138">
    <w:name w:val="ListLabel 1138"/>
    <w:qFormat/>
    <w:rPr>
      <w:rFonts w:cs="Times New Roman"/>
    </w:rPr>
  </w:style>
  <w:style w:type="character" w:styleId="ListLabel1139">
    <w:name w:val="ListLabel 1139"/>
    <w:qFormat/>
    <w:rPr>
      <w:rFonts w:cs="Times New Roman"/>
    </w:rPr>
  </w:style>
  <w:style w:type="character" w:styleId="ListLabel1140">
    <w:name w:val="ListLabel 1140"/>
    <w:qFormat/>
    <w:rPr>
      <w:rFonts w:cs="Times New Roman"/>
    </w:rPr>
  </w:style>
  <w:style w:type="character" w:styleId="ListLabel1141">
    <w:name w:val="ListLabel 1141"/>
    <w:qFormat/>
    <w:rPr>
      <w:rFonts w:cs="Times New Roman"/>
    </w:rPr>
  </w:style>
  <w:style w:type="character" w:styleId="ListLabel1142">
    <w:name w:val="ListLabel 1142"/>
    <w:qFormat/>
    <w:rPr>
      <w:rFonts w:cs="Times New Roman"/>
    </w:rPr>
  </w:style>
  <w:style w:type="character" w:styleId="ListLabel1143">
    <w:name w:val="ListLabel 1143"/>
    <w:qFormat/>
    <w:rPr>
      <w:rFonts w:cs="Symbol"/>
      <w:color w:val="00000A"/>
    </w:rPr>
  </w:style>
  <w:style w:type="character" w:styleId="ListLabel1144">
    <w:name w:val="ListLabel 1144"/>
    <w:qFormat/>
    <w:rPr>
      <w:rFonts w:cs="Wingdings"/>
    </w:rPr>
  </w:style>
  <w:style w:type="character" w:styleId="ListLabel1145">
    <w:name w:val="ListLabel 1145"/>
    <w:qFormat/>
    <w:rPr>
      <w:rFonts w:cs="Wingdings"/>
    </w:rPr>
  </w:style>
  <w:style w:type="character" w:styleId="ListLabel1146">
    <w:name w:val="ListLabel 1146"/>
    <w:qFormat/>
    <w:rPr>
      <w:rFonts w:cs="Wingdings"/>
    </w:rPr>
  </w:style>
  <w:style w:type="character" w:styleId="ListLabel1147">
    <w:name w:val="ListLabel 1147"/>
    <w:qFormat/>
    <w:rPr>
      <w:rFonts w:cs="Wingdings"/>
    </w:rPr>
  </w:style>
  <w:style w:type="character" w:styleId="ListLabel1148">
    <w:name w:val="ListLabel 1148"/>
    <w:qFormat/>
    <w:rPr>
      <w:rFonts w:cs="Wingdings"/>
    </w:rPr>
  </w:style>
  <w:style w:type="character" w:styleId="ListLabel1149">
    <w:name w:val="ListLabel 1149"/>
    <w:qFormat/>
    <w:rPr>
      <w:rFonts w:cs="Wingdings"/>
    </w:rPr>
  </w:style>
  <w:style w:type="character" w:styleId="ListLabel1150">
    <w:name w:val="ListLabel 1150"/>
    <w:qFormat/>
    <w:rPr>
      <w:rFonts w:cs="Wingdings"/>
    </w:rPr>
  </w:style>
  <w:style w:type="character" w:styleId="ListLabel1151">
    <w:name w:val="ListLabel 1151"/>
    <w:qFormat/>
    <w:rPr>
      <w:rFonts w:cs="Wingdings"/>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rFonts w:cs="OpenSymbol"/>
    </w:rPr>
  </w:style>
  <w:style w:type="character" w:styleId="ListLabel1173">
    <w:name w:val="ListLabel 1173"/>
    <w:qFormat/>
    <w:rPr>
      <w:rFonts w:cs="OpenSymbol"/>
    </w:rPr>
  </w:style>
  <w:style w:type="character" w:styleId="ListLabel1174">
    <w:name w:val="ListLabel 1174"/>
    <w:qFormat/>
    <w:rPr>
      <w:rFonts w:cs="OpenSymbol"/>
    </w:rPr>
  </w:style>
  <w:style w:type="character" w:styleId="ListLabel1175">
    <w:name w:val="ListLabel 1175"/>
    <w:qFormat/>
    <w:rPr>
      <w:rFonts w:cs="OpenSymbol"/>
    </w:rPr>
  </w:style>
  <w:style w:type="character" w:styleId="ListLabel1176">
    <w:name w:val="ListLabel 1176"/>
    <w:qFormat/>
    <w:rPr>
      <w:rFonts w:cs="OpenSymbol"/>
    </w:rPr>
  </w:style>
  <w:style w:type="character" w:styleId="ListLabel1177">
    <w:name w:val="ListLabel 1177"/>
    <w:qFormat/>
    <w:rPr>
      <w:rFonts w:cs="OpenSymbol"/>
    </w:rPr>
  </w:style>
  <w:style w:type="character" w:styleId="ListLabel1178">
    <w:name w:val="ListLabel 1178"/>
    <w:qFormat/>
    <w:rPr>
      <w:rFonts w:cs="OpenSymbol"/>
    </w:rPr>
  </w:style>
  <w:style w:type="character" w:styleId="ListLabel1179">
    <w:name w:val="ListLabel 1179"/>
    <w:qFormat/>
    <w:rPr>
      <w:rFonts w:cs="OpenSymbol"/>
    </w:rPr>
  </w:style>
  <w:style w:type="character" w:styleId="ListLabel1180">
    <w:name w:val="ListLabel 1180"/>
    <w:qFormat/>
    <w:rPr>
      <w:rFonts w:cs="OpenSymbol"/>
    </w:rPr>
  </w:style>
  <w:style w:type="character" w:styleId="ListLabel1181">
    <w:name w:val="ListLabel 1181"/>
    <w:qFormat/>
    <w:rPr>
      <w:rFonts w:cs="OpenSymbol"/>
    </w:rPr>
  </w:style>
  <w:style w:type="character" w:styleId="ListLabel1182">
    <w:name w:val="ListLabel 1182"/>
    <w:qFormat/>
    <w:rPr>
      <w:rFonts w:cs="OpenSymbol"/>
    </w:rPr>
  </w:style>
  <w:style w:type="character" w:styleId="ListLabel1183">
    <w:name w:val="ListLabel 1183"/>
    <w:qFormat/>
    <w:rPr>
      <w:rFonts w:cs="OpenSymbol"/>
    </w:rPr>
  </w:style>
  <w:style w:type="character" w:styleId="ListLabel1184">
    <w:name w:val="ListLabel 1184"/>
    <w:qFormat/>
    <w:rPr>
      <w:rFonts w:cs="OpenSymbol"/>
    </w:rPr>
  </w:style>
  <w:style w:type="character" w:styleId="ListLabel1185">
    <w:name w:val="ListLabel 1185"/>
    <w:qFormat/>
    <w:rPr>
      <w:rFonts w:cs="OpenSymbol"/>
    </w:rPr>
  </w:style>
  <w:style w:type="character" w:styleId="ListLabel1186">
    <w:name w:val="ListLabel 1186"/>
    <w:qFormat/>
    <w:rPr>
      <w:rFonts w:cs="OpenSymbol"/>
    </w:rPr>
  </w:style>
  <w:style w:type="character" w:styleId="ListLabel1187">
    <w:name w:val="ListLabel 1187"/>
    <w:qFormat/>
    <w:rPr>
      <w:rFonts w:cs="OpenSymbol"/>
    </w:rPr>
  </w:style>
  <w:style w:type="character" w:styleId="ListLabel1188">
    <w:name w:val="ListLabel 1188"/>
    <w:qFormat/>
    <w:rPr>
      <w:rFonts w:cs="OpenSymbol"/>
    </w:rPr>
  </w:style>
  <w:style w:type="character" w:styleId="ListLabel1189">
    <w:name w:val="ListLabel 1189"/>
    <w:qFormat/>
    <w:rPr>
      <w:rFonts w:cs="OpenSymbol"/>
    </w:rPr>
  </w:style>
  <w:style w:type="character" w:styleId="ListLabel1190">
    <w:name w:val="ListLabel 1190"/>
    <w:qFormat/>
    <w:rPr>
      <w:rFonts w:cs="OpenSymbol"/>
    </w:rPr>
  </w:style>
  <w:style w:type="character" w:styleId="ListLabel1191">
    <w:name w:val="ListLabel 1191"/>
    <w:qFormat/>
    <w:rPr>
      <w:rFonts w:cs="OpenSymbol"/>
    </w:rPr>
  </w:style>
  <w:style w:type="character" w:styleId="ListLabel1192">
    <w:name w:val="ListLabel 1192"/>
    <w:qFormat/>
    <w:rPr>
      <w:rFonts w:cs="OpenSymbol"/>
    </w:rPr>
  </w:style>
  <w:style w:type="character" w:styleId="ListLabel1193">
    <w:name w:val="ListLabel 1193"/>
    <w:qFormat/>
    <w:rPr>
      <w:rFonts w:cs="OpenSymbol"/>
    </w:rPr>
  </w:style>
  <w:style w:type="character" w:styleId="ListLabel1194">
    <w:name w:val="ListLabel 1194"/>
    <w:qFormat/>
    <w:rPr>
      <w:rFonts w:cs="OpenSymbol"/>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cs="OpenSymbol"/>
    </w:rPr>
  </w:style>
  <w:style w:type="character" w:styleId="ListLabel1199">
    <w:name w:val="ListLabel 1199"/>
    <w:qFormat/>
    <w:rPr>
      <w:rFonts w:cs="OpenSymbol"/>
    </w:rPr>
  </w:style>
  <w:style w:type="character" w:styleId="ListLabel1200">
    <w:name w:val="ListLabel 1200"/>
    <w:qFormat/>
    <w:rPr>
      <w:rFonts w:cs="OpenSymbol"/>
    </w:rPr>
  </w:style>
  <w:style w:type="character" w:styleId="ListLabel1201">
    <w:name w:val="ListLabel 1201"/>
    <w:qFormat/>
    <w:rPr>
      <w:rFonts w:cs="OpenSymbol"/>
    </w:rPr>
  </w:style>
  <w:style w:type="character" w:styleId="ListLabel1202">
    <w:name w:val="ListLabel 1202"/>
    <w:qFormat/>
    <w:rPr>
      <w:rFonts w:cs="OpenSymbol"/>
    </w:rPr>
  </w:style>
  <w:style w:type="character" w:styleId="ListLabel1203">
    <w:name w:val="ListLabel 1203"/>
    <w:qFormat/>
    <w:rPr>
      <w:rFonts w:cs="OpenSymbol"/>
    </w:rPr>
  </w:style>
  <w:style w:type="character" w:styleId="ListLabel1204">
    <w:name w:val="ListLabel 1204"/>
    <w:qFormat/>
    <w:rPr>
      <w:rFonts w:cs="OpenSymbol"/>
    </w:rPr>
  </w:style>
  <w:style w:type="character" w:styleId="ListLabel1205">
    <w:name w:val="ListLabel 1205"/>
    <w:qFormat/>
    <w:rPr>
      <w:rFonts w:cs="OpenSymbol"/>
    </w:rPr>
  </w:style>
  <w:style w:type="character" w:styleId="ListLabel1206">
    <w:name w:val="ListLabel 1206"/>
    <w:qFormat/>
    <w:rPr>
      <w:rFonts w:cs="Times New Roman"/>
    </w:rPr>
  </w:style>
  <w:style w:type="character" w:styleId="ListLabel1207">
    <w:name w:val="ListLabel 1207"/>
    <w:qFormat/>
    <w:rPr>
      <w:rFonts w:cs="Times New Roman"/>
    </w:rPr>
  </w:style>
  <w:style w:type="character" w:styleId="ListLabel1208">
    <w:name w:val="ListLabel 1208"/>
    <w:qFormat/>
    <w:rPr>
      <w:rFonts w:cs="Times New Roman"/>
    </w:rPr>
  </w:style>
  <w:style w:type="character" w:styleId="ListLabel1209">
    <w:name w:val="ListLabel 1209"/>
    <w:qFormat/>
    <w:rPr>
      <w:rFonts w:cs="Times New Roman"/>
    </w:rPr>
  </w:style>
  <w:style w:type="character" w:styleId="ListLabel1210">
    <w:name w:val="ListLabel 1210"/>
    <w:qFormat/>
    <w:rPr>
      <w:rFonts w:cs="Times New Roman"/>
    </w:rPr>
  </w:style>
  <w:style w:type="character" w:styleId="ListLabel1211">
    <w:name w:val="ListLabel 1211"/>
    <w:qFormat/>
    <w:rPr>
      <w:rFonts w:cs="Times New Roman"/>
    </w:rPr>
  </w:style>
  <w:style w:type="character" w:styleId="ListLabel1212">
    <w:name w:val="ListLabel 1212"/>
    <w:qFormat/>
    <w:rPr>
      <w:rFonts w:cs="Times New Roman"/>
    </w:rPr>
  </w:style>
  <w:style w:type="character" w:styleId="ListLabel1213">
    <w:name w:val="ListLabel 1213"/>
    <w:qFormat/>
    <w:rPr>
      <w:rFonts w:cs="Times New Roman"/>
    </w:rPr>
  </w:style>
  <w:style w:type="character" w:styleId="ListLabel1214">
    <w:name w:val="ListLabel 1214"/>
    <w:qFormat/>
    <w:rPr>
      <w:rFonts w:cs="Times New Roman"/>
    </w:rPr>
  </w:style>
  <w:style w:type="character" w:styleId="ListLabel1215">
    <w:name w:val="ListLabel 1215"/>
    <w:qFormat/>
    <w:rPr>
      <w:rFonts w:cs="Times New Roman"/>
    </w:rPr>
  </w:style>
  <w:style w:type="character" w:styleId="ListLabel1216">
    <w:name w:val="ListLabel 1216"/>
    <w:qFormat/>
    <w:rPr>
      <w:rFonts w:cs="Times New Roman"/>
    </w:rPr>
  </w:style>
  <w:style w:type="character" w:styleId="ListLabel1217">
    <w:name w:val="ListLabel 1217"/>
    <w:qFormat/>
    <w:rPr>
      <w:rFonts w:cs="Times New Roman"/>
    </w:rPr>
  </w:style>
  <w:style w:type="character" w:styleId="ListLabel1218">
    <w:name w:val="ListLabel 1218"/>
    <w:qFormat/>
    <w:rPr>
      <w:rFonts w:cs="OpenSymbol"/>
    </w:rPr>
  </w:style>
  <w:style w:type="character" w:styleId="ListLabel1219">
    <w:name w:val="ListLabel 1219"/>
    <w:qFormat/>
    <w:rPr>
      <w:rFonts w:cs="OpenSymbol"/>
    </w:rPr>
  </w:style>
  <w:style w:type="character" w:styleId="ListLabel1220">
    <w:name w:val="ListLabel 1220"/>
    <w:qFormat/>
    <w:rPr>
      <w:rFonts w:cs="OpenSymbol"/>
    </w:rPr>
  </w:style>
  <w:style w:type="character" w:styleId="ListLabel1221">
    <w:name w:val="ListLabel 1221"/>
    <w:qFormat/>
    <w:rPr>
      <w:rFonts w:cs="OpenSymbol"/>
    </w:rPr>
  </w:style>
  <w:style w:type="character" w:styleId="ListLabel1222">
    <w:name w:val="ListLabel 1222"/>
    <w:qFormat/>
    <w:rPr>
      <w:rFonts w:cs="OpenSymbol"/>
    </w:rPr>
  </w:style>
  <w:style w:type="character" w:styleId="ListLabel1223">
    <w:name w:val="ListLabel 1223"/>
    <w:qFormat/>
    <w:rPr>
      <w:rFonts w:cs="OpenSymbol"/>
    </w:rPr>
  </w:style>
  <w:style w:type="character" w:styleId="ListLabel1224">
    <w:name w:val="ListLabel 1224"/>
    <w:qFormat/>
    <w:rPr>
      <w:rFonts w:cs="OpenSymbol"/>
    </w:rPr>
  </w:style>
  <w:style w:type="character" w:styleId="ListLabel1225">
    <w:name w:val="ListLabel 1225"/>
    <w:qFormat/>
    <w:rPr>
      <w:rFonts w:cs="OpenSymbol"/>
    </w:rPr>
  </w:style>
  <w:style w:type="character" w:styleId="ListLabel1226">
    <w:name w:val="ListLabel 1226"/>
    <w:qFormat/>
    <w:rPr>
      <w:rFonts w:cs="OpenSymbol"/>
    </w:rPr>
  </w:style>
  <w:style w:type="character" w:styleId="ListLabel1227">
    <w:name w:val="ListLabel 1227"/>
    <w:qFormat/>
    <w:rPr>
      <w:rFonts w:cs="OpenSymbol"/>
    </w:rPr>
  </w:style>
  <w:style w:type="character" w:styleId="ListLabel1228">
    <w:name w:val="ListLabel 1228"/>
    <w:qFormat/>
    <w:rPr>
      <w:rFonts w:cs="OpenSymbol"/>
    </w:rPr>
  </w:style>
  <w:style w:type="character" w:styleId="ListLabel1229">
    <w:name w:val="ListLabel 1229"/>
    <w:qFormat/>
    <w:rPr>
      <w:rFonts w:cs="OpenSymbol"/>
    </w:rPr>
  </w:style>
  <w:style w:type="character" w:styleId="ListLabel1230">
    <w:name w:val="ListLabel 1230"/>
    <w:qFormat/>
    <w:rPr>
      <w:rFonts w:cs="OpenSymbol"/>
    </w:rPr>
  </w:style>
  <w:style w:type="character" w:styleId="ListLabel1231">
    <w:name w:val="ListLabel 1231"/>
    <w:qFormat/>
    <w:rPr>
      <w:rFonts w:cs="OpenSymbol"/>
    </w:rPr>
  </w:style>
  <w:style w:type="character" w:styleId="ListLabel1232">
    <w:name w:val="ListLabel 1232"/>
    <w:qFormat/>
    <w:rPr>
      <w:rFonts w:cs="OpenSymbol"/>
    </w:rPr>
  </w:style>
  <w:style w:type="character" w:styleId="ListLabel1233">
    <w:name w:val="ListLabel 1233"/>
    <w:qFormat/>
    <w:rPr>
      <w:rFonts w:cs="OpenSymbol"/>
    </w:rPr>
  </w:style>
  <w:style w:type="character" w:styleId="ListLabel1234">
    <w:name w:val="ListLabel 1234"/>
    <w:qFormat/>
    <w:rPr>
      <w:rFonts w:cs="OpenSymbol"/>
    </w:rPr>
  </w:style>
  <w:style w:type="character" w:styleId="ListLabel1235">
    <w:name w:val="ListLabel 1235"/>
    <w:qFormat/>
    <w:rPr>
      <w:rFonts w:cs="OpenSymbol"/>
    </w:rPr>
  </w:style>
  <w:style w:type="character" w:styleId="ListLabel1236">
    <w:name w:val="ListLabel 1236"/>
    <w:qFormat/>
    <w:rPr>
      <w:rFonts w:cs="OpenSymbol"/>
    </w:rPr>
  </w:style>
  <w:style w:type="character" w:styleId="ListLabel1237">
    <w:name w:val="ListLabel 1237"/>
    <w:qFormat/>
    <w:rPr>
      <w:rFonts w:cs="OpenSymbol"/>
    </w:rPr>
  </w:style>
  <w:style w:type="character" w:styleId="ListLabel1238">
    <w:name w:val="ListLabel 1238"/>
    <w:qFormat/>
    <w:rPr>
      <w:rFonts w:cs="OpenSymbol"/>
    </w:rPr>
  </w:style>
  <w:style w:type="character" w:styleId="ListLabel1239">
    <w:name w:val="ListLabel 1239"/>
    <w:qFormat/>
    <w:rPr>
      <w:rFonts w:cs="OpenSymbol"/>
    </w:rPr>
  </w:style>
  <w:style w:type="character" w:styleId="ListLabel1240">
    <w:name w:val="ListLabel 1240"/>
    <w:qFormat/>
    <w:rPr>
      <w:rFonts w:cs="OpenSymbol"/>
    </w:rPr>
  </w:style>
  <w:style w:type="character" w:styleId="ListLabel1241">
    <w:name w:val="ListLabel 1241"/>
    <w:qFormat/>
    <w:rPr>
      <w:rFonts w:cs="OpenSymbol"/>
    </w:rPr>
  </w:style>
  <w:style w:type="character" w:styleId="ListLabel1242">
    <w:name w:val="ListLabel 1242"/>
    <w:qFormat/>
    <w:rPr>
      <w:rFonts w:cs="OpenSymbol"/>
    </w:rPr>
  </w:style>
  <w:style w:type="character" w:styleId="ListLabel1243">
    <w:name w:val="ListLabel 1243"/>
    <w:qFormat/>
    <w:rPr>
      <w:rFonts w:cs="OpenSymbol"/>
    </w:rPr>
  </w:style>
  <w:style w:type="character" w:styleId="ListLabel1244">
    <w:name w:val="ListLabel 1244"/>
    <w:qFormat/>
    <w:rPr>
      <w:rFonts w:cs="OpenSymbol"/>
    </w:rPr>
  </w:style>
  <w:style w:type="character" w:styleId="ListLabel1245">
    <w:name w:val="ListLabel 1245"/>
    <w:qFormat/>
    <w:rPr>
      <w:rFonts w:cs="OpenSymbol"/>
    </w:rPr>
  </w:style>
  <w:style w:type="character" w:styleId="ListLabel1246">
    <w:name w:val="ListLabel 1246"/>
    <w:qFormat/>
    <w:rPr>
      <w:rFonts w:cs="OpenSymbol"/>
    </w:rPr>
  </w:style>
  <w:style w:type="character" w:styleId="ListLabel1247">
    <w:name w:val="ListLabel 1247"/>
    <w:qFormat/>
    <w:rPr>
      <w:rFonts w:cs="OpenSymbol"/>
    </w:rPr>
  </w:style>
  <w:style w:type="character" w:styleId="ListLabel1248">
    <w:name w:val="ListLabel 1248"/>
    <w:qFormat/>
    <w:rPr>
      <w:rFonts w:cs="OpenSymbol"/>
    </w:rPr>
  </w:style>
  <w:style w:type="character" w:styleId="ListLabel1249">
    <w:name w:val="ListLabel 1249"/>
    <w:qFormat/>
    <w:rPr>
      <w:rFonts w:cs="OpenSymbol"/>
    </w:rPr>
  </w:style>
  <w:style w:type="character" w:styleId="ListLabel1250">
    <w:name w:val="ListLabel 1250"/>
    <w:qFormat/>
    <w:rPr>
      <w:rFonts w:cs="OpenSymbol"/>
    </w:rPr>
  </w:style>
  <w:style w:type="character" w:styleId="ListLabel1251">
    <w:name w:val="ListLabel 1251"/>
    <w:qFormat/>
    <w:rPr>
      <w:rFonts w:cs="OpenSymbol"/>
    </w:rPr>
  </w:style>
  <w:style w:type="character" w:styleId="ListLabel1252">
    <w:name w:val="ListLabel 1252"/>
    <w:qFormat/>
    <w:rPr>
      <w:rFonts w:cs="OpenSymbol"/>
    </w:rPr>
  </w:style>
  <w:style w:type="character" w:styleId="ListLabel1253">
    <w:name w:val="ListLabel 1253"/>
    <w:qFormat/>
    <w:rPr>
      <w:rFonts w:cs="OpenSymbol"/>
    </w:rPr>
  </w:style>
  <w:style w:type="character" w:styleId="ListLabel1254">
    <w:name w:val="ListLabel 1254"/>
    <w:qFormat/>
    <w:rPr>
      <w:rFonts w:cs="OpenSymbol"/>
    </w:rPr>
  </w:style>
  <w:style w:type="character" w:styleId="ListLabel1255">
    <w:name w:val="ListLabel 1255"/>
    <w:qFormat/>
    <w:rPr>
      <w:rFonts w:cs="OpenSymbol"/>
    </w:rPr>
  </w:style>
  <w:style w:type="character" w:styleId="ListLabel1256">
    <w:name w:val="ListLabel 1256"/>
    <w:qFormat/>
    <w:rPr>
      <w:rFonts w:cs="OpenSymbol"/>
    </w:rPr>
  </w:style>
  <w:style w:type="character" w:styleId="ListLabel1257">
    <w:name w:val="ListLabel 1257"/>
    <w:qFormat/>
    <w:rPr>
      <w:rFonts w:cs="OpenSymbol"/>
    </w:rPr>
  </w:style>
  <w:style w:type="character" w:styleId="ListLabel1258">
    <w:name w:val="ListLabel 1258"/>
    <w:qFormat/>
    <w:rPr>
      <w:rFonts w:cs="OpenSymbol"/>
    </w:rPr>
  </w:style>
  <w:style w:type="character" w:styleId="ListLabel1259">
    <w:name w:val="ListLabel 1259"/>
    <w:qFormat/>
    <w:rPr>
      <w:rFonts w:cs="OpenSymbol"/>
    </w:rPr>
  </w:style>
  <w:style w:type="character" w:styleId="ListLabel1260">
    <w:name w:val="ListLabel 1260"/>
    <w:qFormat/>
    <w:rPr>
      <w:rFonts w:cs="OpenSymbol"/>
    </w:rPr>
  </w:style>
  <w:style w:type="character" w:styleId="ListLabel1261">
    <w:name w:val="ListLabel 1261"/>
    <w:qFormat/>
    <w:rPr>
      <w:rFonts w:cs="OpenSymbol"/>
    </w:rPr>
  </w:style>
  <w:style w:type="character" w:styleId="ListLabel1262">
    <w:name w:val="ListLabel 1262"/>
    <w:qFormat/>
    <w:rPr>
      <w:rFonts w:cs="OpenSymbol"/>
    </w:rPr>
  </w:style>
  <w:style w:type="character" w:styleId="ListLabel1263">
    <w:name w:val="ListLabel 1263"/>
    <w:qFormat/>
    <w:rPr>
      <w:rFonts w:cs="OpenSymbol"/>
    </w:rPr>
  </w:style>
  <w:style w:type="character" w:styleId="ListLabel1264">
    <w:name w:val="ListLabel 1264"/>
    <w:qFormat/>
    <w:rPr>
      <w:rFonts w:cs="OpenSymbol"/>
    </w:rPr>
  </w:style>
  <w:style w:type="character" w:styleId="ListLabel1265">
    <w:name w:val="ListLabel 1265"/>
    <w:qFormat/>
    <w:rPr>
      <w:rFonts w:cs="OpenSymbol"/>
    </w:rPr>
  </w:style>
  <w:style w:type="character" w:styleId="ListLabel1266">
    <w:name w:val="ListLabel 1266"/>
    <w:qFormat/>
    <w:rPr>
      <w:rFonts w:cs="OpenSymbol"/>
    </w:rPr>
  </w:style>
  <w:style w:type="character" w:styleId="ListLabel1267">
    <w:name w:val="ListLabel 1267"/>
    <w:qFormat/>
    <w:rPr>
      <w:rFonts w:cs="OpenSymbol"/>
    </w:rPr>
  </w:style>
  <w:style w:type="character" w:styleId="ListLabel1268">
    <w:name w:val="ListLabel 1268"/>
    <w:qFormat/>
    <w:rPr>
      <w:rFonts w:cs="OpenSymbol"/>
    </w:rPr>
  </w:style>
  <w:style w:type="character" w:styleId="ListLabel1269">
    <w:name w:val="ListLabel 1269"/>
    <w:qFormat/>
    <w:rPr>
      <w:rFonts w:cs="OpenSymbol"/>
    </w:rPr>
  </w:style>
  <w:style w:type="character" w:styleId="ListLabel1270">
    <w:name w:val="ListLabel 1270"/>
    <w:qFormat/>
    <w:rPr>
      <w:rFonts w:cs="OpenSymbol"/>
    </w:rPr>
  </w:style>
  <w:style w:type="character" w:styleId="ListLabel1271">
    <w:name w:val="ListLabel 1271"/>
    <w:qFormat/>
    <w:rPr>
      <w:rFonts w:cs="OpenSymbol"/>
    </w:rPr>
  </w:style>
  <w:style w:type="character" w:styleId="ListLabel1272">
    <w:name w:val="ListLabel 1272"/>
    <w:qFormat/>
    <w:rPr>
      <w:rFonts w:cs="Times New Roman"/>
    </w:rPr>
  </w:style>
  <w:style w:type="character" w:styleId="ListLabel1273">
    <w:name w:val="ListLabel 1273"/>
    <w:qFormat/>
    <w:rPr>
      <w:rFonts w:cs="Times New Roman"/>
    </w:rPr>
  </w:style>
  <w:style w:type="character" w:styleId="ListLabel1274">
    <w:name w:val="ListLabel 1274"/>
    <w:qFormat/>
    <w:rPr>
      <w:rFonts w:cs="Times New Roman"/>
    </w:rPr>
  </w:style>
  <w:style w:type="character" w:styleId="ListLabel1275">
    <w:name w:val="ListLabel 1275"/>
    <w:qFormat/>
    <w:rPr>
      <w:rFonts w:cs="Times New Roman"/>
    </w:rPr>
  </w:style>
  <w:style w:type="character" w:styleId="ListLabel1276">
    <w:name w:val="ListLabel 1276"/>
    <w:qFormat/>
    <w:rPr>
      <w:rFonts w:cs="Times New Roman"/>
    </w:rPr>
  </w:style>
  <w:style w:type="character" w:styleId="ListLabel1277">
    <w:name w:val="ListLabel 1277"/>
    <w:qFormat/>
    <w:rPr>
      <w:rFonts w:cs="Times New Roman"/>
    </w:rPr>
  </w:style>
  <w:style w:type="character" w:styleId="ListLabel1278">
    <w:name w:val="ListLabel 1278"/>
    <w:qFormat/>
    <w:rPr>
      <w:rFonts w:cs="Times New Roman"/>
    </w:rPr>
  </w:style>
  <w:style w:type="character" w:styleId="ListLabel1279">
    <w:name w:val="ListLabel 1279"/>
    <w:qFormat/>
    <w:rPr>
      <w:rFonts w:cs="Times New Roman"/>
    </w:rPr>
  </w:style>
  <w:style w:type="character" w:styleId="ListLabel1280">
    <w:name w:val="ListLabel 1280"/>
    <w:qFormat/>
    <w:rPr>
      <w:rFonts w:cs="Times New Roman"/>
    </w:rPr>
  </w:style>
  <w:style w:type="character" w:styleId="ListLabel1281">
    <w:name w:val="ListLabel 1281"/>
    <w:qFormat/>
    <w:rPr>
      <w:rFonts w:cs="Times New Roman"/>
    </w:rPr>
  </w:style>
  <w:style w:type="character" w:styleId="ListLabel1282">
    <w:name w:val="ListLabel 1282"/>
    <w:qFormat/>
    <w:rPr>
      <w:rFonts w:cs="Times New Roman"/>
    </w:rPr>
  </w:style>
  <w:style w:type="character" w:styleId="ListLabel1283">
    <w:name w:val="ListLabel 1283"/>
    <w:qFormat/>
    <w:rPr>
      <w:rFonts w:cs="Times New Roman"/>
    </w:rPr>
  </w:style>
  <w:style w:type="character" w:styleId="ListLabel1284">
    <w:name w:val="ListLabel 1284"/>
    <w:qFormat/>
    <w:rPr>
      <w:rFonts w:cs="OpenSymbol"/>
    </w:rPr>
  </w:style>
  <w:style w:type="character" w:styleId="ListLabel1285">
    <w:name w:val="ListLabel 1285"/>
    <w:qFormat/>
    <w:rPr>
      <w:rFonts w:cs="OpenSymbol"/>
    </w:rPr>
  </w:style>
  <w:style w:type="character" w:styleId="ListLabel1286">
    <w:name w:val="ListLabel 1286"/>
    <w:qFormat/>
    <w:rPr>
      <w:rFonts w:cs="OpenSymbol"/>
    </w:rPr>
  </w:style>
  <w:style w:type="character" w:styleId="ListLabel1287">
    <w:name w:val="ListLabel 1287"/>
    <w:qFormat/>
    <w:rPr>
      <w:rFonts w:cs="OpenSymbol"/>
    </w:rPr>
  </w:style>
  <w:style w:type="character" w:styleId="ListLabel1288">
    <w:name w:val="ListLabel 1288"/>
    <w:qFormat/>
    <w:rPr>
      <w:rFonts w:cs="OpenSymbol"/>
    </w:rPr>
  </w:style>
  <w:style w:type="character" w:styleId="ListLabel1289">
    <w:name w:val="ListLabel 1289"/>
    <w:qFormat/>
    <w:rPr>
      <w:rFonts w:cs="OpenSymbol"/>
    </w:rPr>
  </w:style>
  <w:style w:type="character" w:styleId="ListLabel1290">
    <w:name w:val="ListLabel 1290"/>
    <w:qFormat/>
    <w:rPr>
      <w:rFonts w:cs="OpenSymbol"/>
    </w:rPr>
  </w:style>
  <w:style w:type="character" w:styleId="ListLabel1291">
    <w:name w:val="ListLabel 1291"/>
    <w:qFormat/>
    <w:rPr>
      <w:rFonts w:cs="OpenSymbol"/>
    </w:rPr>
  </w:style>
  <w:style w:type="character" w:styleId="ListLabel1292">
    <w:name w:val="ListLabel 1292"/>
    <w:qFormat/>
    <w:rPr>
      <w:rFonts w:cs="OpenSymbol"/>
    </w:rPr>
  </w:style>
  <w:style w:type="character" w:styleId="ListLabel1293">
    <w:name w:val="ListLabel 1293"/>
    <w:qFormat/>
    <w:rPr>
      <w:rFonts w:cs="OpenSymbol"/>
    </w:rPr>
  </w:style>
  <w:style w:type="character" w:styleId="ListLabel1294">
    <w:name w:val="ListLabel 1294"/>
    <w:qFormat/>
    <w:rPr>
      <w:rFonts w:cs="OpenSymbol"/>
    </w:rPr>
  </w:style>
  <w:style w:type="character" w:styleId="ListLabel1295">
    <w:name w:val="ListLabel 1295"/>
    <w:qFormat/>
    <w:rPr>
      <w:rFonts w:cs="OpenSymbol"/>
    </w:rPr>
  </w:style>
  <w:style w:type="character" w:styleId="ListLabel1296">
    <w:name w:val="ListLabel 1296"/>
    <w:qFormat/>
    <w:rPr>
      <w:rFonts w:cs="OpenSymbol"/>
    </w:rPr>
  </w:style>
  <w:style w:type="character" w:styleId="ListLabel1297">
    <w:name w:val="ListLabel 1297"/>
    <w:qFormat/>
    <w:rPr>
      <w:rFonts w:cs="OpenSymbol"/>
    </w:rPr>
  </w:style>
  <w:style w:type="character" w:styleId="ListLabel1298">
    <w:name w:val="ListLabel 1298"/>
    <w:qFormat/>
    <w:rPr>
      <w:rFonts w:cs="OpenSymbol"/>
    </w:rPr>
  </w:style>
  <w:style w:type="character" w:styleId="ListLabel1299">
    <w:name w:val="ListLabel 1299"/>
    <w:qFormat/>
    <w:rPr>
      <w:rFonts w:cs="OpenSymbol"/>
    </w:rPr>
  </w:style>
  <w:style w:type="character" w:styleId="ListLabel1300">
    <w:name w:val="ListLabel 1300"/>
    <w:qFormat/>
    <w:rPr>
      <w:rFonts w:cs="OpenSymbol"/>
    </w:rPr>
  </w:style>
  <w:style w:type="character" w:styleId="ListLabel1301">
    <w:name w:val="ListLabel 1301"/>
    <w:qFormat/>
    <w:rPr>
      <w:rFonts w:cs="OpenSymbol"/>
    </w:rPr>
  </w:style>
  <w:style w:type="character" w:styleId="ListLabel1302">
    <w:name w:val="ListLabel 1302"/>
    <w:qFormat/>
    <w:rPr>
      <w:rFonts w:cs="OpenSymbol"/>
    </w:rPr>
  </w:style>
  <w:style w:type="character" w:styleId="ListLabel1303">
    <w:name w:val="ListLabel 1303"/>
    <w:qFormat/>
    <w:rPr>
      <w:rFonts w:cs="OpenSymbol"/>
    </w:rPr>
  </w:style>
  <w:style w:type="character" w:styleId="ListLabel1304">
    <w:name w:val="ListLabel 1304"/>
    <w:qFormat/>
    <w:rPr>
      <w:rFonts w:cs="OpenSymbol"/>
    </w:rPr>
  </w:style>
  <w:style w:type="character" w:styleId="ListLabel1305">
    <w:name w:val="ListLabel 1305"/>
    <w:qFormat/>
    <w:rPr>
      <w:rFonts w:cs="OpenSymbol"/>
    </w:rPr>
  </w:style>
  <w:style w:type="character" w:styleId="ListLabel1306">
    <w:name w:val="ListLabel 1306"/>
    <w:qFormat/>
    <w:rPr>
      <w:rFonts w:cs="OpenSymbol"/>
    </w:rPr>
  </w:style>
  <w:style w:type="character" w:styleId="ListLabel1307">
    <w:name w:val="ListLabel 1307"/>
    <w:qFormat/>
    <w:rPr>
      <w:rFonts w:cs="OpenSymbol"/>
    </w:rPr>
  </w:style>
  <w:style w:type="character" w:styleId="ListLabel1308">
    <w:name w:val="ListLabel 1308"/>
    <w:qFormat/>
    <w:rPr>
      <w:rFonts w:cs="OpenSymbol"/>
    </w:rPr>
  </w:style>
  <w:style w:type="character" w:styleId="ListLabel1309">
    <w:name w:val="ListLabel 1309"/>
    <w:qFormat/>
    <w:rPr>
      <w:rFonts w:cs="OpenSymbol"/>
    </w:rPr>
  </w:style>
  <w:style w:type="character" w:styleId="ListLabel1310">
    <w:name w:val="ListLabel 1310"/>
    <w:qFormat/>
    <w:rPr>
      <w:rFonts w:cs="OpenSymbol"/>
    </w:rPr>
  </w:style>
  <w:style w:type="character" w:styleId="ListLabel1311">
    <w:name w:val="ListLabel 1311"/>
    <w:qFormat/>
    <w:rPr>
      <w:rFonts w:cs="OpenSymbol"/>
    </w:rPr>
  </w:style>
  <w:style w:type="character" w:styleId="ListLabel1312">
    <w:name w:val="ListLabel 1312"/>
    <w:qFormat/>
    <w:rPr>
      <w:rFonts w:cs="OpenSymbol"/>
    </w:rPr>
  </w:style>
  <w:style w:type="character" w:styleId="ListLabel1313">
    <w:name w:val="ListLabel 1313"/>
    <w:qFormat/>
    <w:rPr>
      <w:rFonts w:cs="OpenSymbol"/>
    </w:rPr>
  </w:style>
  <w:style w:type="character" w:styleId="ListLabel1314">
    <w:name w:val="ListLabel 1314"/>
    <w:qFormat/>
    <w:rPr>
      <w:rFonts w:cs="OpenSymbol"/>
    </w:rPr>
  </w:style>
  <w:style w:type="character" w:styleId="ListLabel1315">
    <w:name w:val="ListLabel 1315"/>
    <w:qFormat/>
    <w:rPr>
      <w:rFonts w:cs="OpenSymbol"/>
    </w:rPr>
  </w:style>
  <w:style w:type="character" w:styleId="ListLabel1316">
    <w:name w:val="ListLabel 1316"/>
    <w:qFormat/>
    <w:rPr>
      <w:rFonts w:cs="OpenSymbol"/>
    </w:rPr>
  </w:style>
  <w:style w:type="character" w:styleId="ListLabel1317">
    <w:name w:val="ListLabel 1317"/>
    <w:qFormat/>
    <w:rPr>
      <w:rFonts w:cs="OpenSymbol"/>
    </w:rPr>
  </w:style>
  <w:style w:type="character" w:styleId="ListLabel1318">
    <w:name w:val="ListLabel 1318"/>
    <w:qFormat/>
    <w:rPr>
      <w:rFonts w:cs="OpenSymbol"/>
    </w:rPr>
  </w:style>
  <w:style w:type="character" w:styleId="ListLabel1319">
    <w:name w:val="ListLabel 1319"/>
    <w:qFormat/>
    <w:rPr>
      <w:rFonts w:cs="OpenSymbol"/>
    </w:rPr>
  </w:style>
  <w:style w:type="character" w:styleId="ListLabel1320">
    <w:name w:val="ListLabel 1320"/>
    <w:qFormat/>
    <w:rPr>
      <w:rFonts w:cs="OpenSymbol"/>
    </w:rPr>
  </w:style>
  <w:style w:type="character" w:styleId="ListLabel1321">
    <w:name w:val="ListLabel 1321"/>
    <w:qFormat/>
    <w:rPr>
      <w:rFonts w:cs="OpenSymbol"/>
    </w:rPr>
  </w:style>
  <w:style w:type="character" w:styleId="ListLabel1322">
    <w:name w:val="ListLabel 1322"/>
    <w:qFormat/>
    <w:rPr>
      <w:rFonts w:cs="OpenSymbol"/>
    </w:rPr>
  </w:style>
  <w:style w:type="character" w:styleId="ListLabel1323">
    <w:name w:val="ListLabel 1323"/>
    <w:qFormat/>
    <w:rPr>
      <w:rFonts w:cs="OpenSymbol"/>
    </w:rPr>
  </w:style>
  <w:style w:type="character" w:styleId="ListLabel1324">
    <w:name w:val="ListLabel 1324"/>
    <w:qFormat/>
    <w:rPr>
      <w:rFonts w:cs="OpenSymbol"/>
    </w:rPr>
  </w:style>
  <w:style w:type="character" w:styleId="ListLabel1325">
    <w:name w:val="ListLabel 1325"/>
    <w:qFormat/>
    <w:rPr>
      <w:rFonts w:cs="OpenSymbol"/>
    </w:rPr>
  </w:style>
  <w:style w:type="character" w:styleId="ListLabel1326">
    <w:name w:val="ListLabel 1326"/>
    <w:qFormat/>
    <w:rPr>
      <w:rFonts w:cs="OpenSymbol"/>
    </w:rPr>
  </w:style>
  <w:style w:type="character" w:styleId="ListLabel1327">
    <w:name w:val="ListLabel 1327"/>
    <w:qFormat/>
    <w:rPr>
      <w:rFonts w:cs="OpenSymbol"/>
    </w:rPr>
  </w:style>
  <w:style w:type="character" w:styleId="ListLabel1328">
    <w:name w:val="ListLabel 1328"/>
    <w:qFormat/>
    <w:rPr>
      <w:rFonts w:cs="OpenSymbol"/>
    </w:rPr>
  </w:style>
  <w:style w:type="character" w:styleId="ListLabel1329">
    <w:name w:val="ListLabel 1329"/>
    <w:qFormat/>
    <w:rPr>
      <w:rFonts w:cs="OpenSymbol"/>
    </w:rPr>
  </w:style>
  <w:style w:type="character" w:styleId="ListLabel1330">
    <w:name w:val="ListLabel 1330"/>
    <w:qFormat/>
    <w:rPr>
      <w:rFonts w:cs="OpenSymbol"/>
    </w:rPr>
  </w:style>
  <w:style w:type="character" w:styleId="ListLabel1331">
    <w:name w:val="ListLabel 1331"/>
    <w:qFormat/>
    <w:rPr>
      <w:rFonts w:cs="OpenSymbol"/>
    </w:rPr>
  </w:style>
  <w:style w:type="character" w:styleId="ListLabel1332">
    <w:name w:val="ListLabel 1332"/>
    <w:qFormat/>
    <w:rPr>
      <w:rFonts w:cs="OpenSymbol"/>
    </w:rPr>
  </w:style>
  <w:style w:type="character" w:styleId="ListLabel1333">
    <w:name w:val="ListLabel 1333"/>
    <w:qFormat/>
    <w:rPr>
      <w:rFonts w:cs="OpenSymbol"/>
    </w:rPr>
  </w:style>
  <w:style w:type="character" w:styleId="ListLabel1334">
    <w:name w:val="ListLabel 1334"/>
    <w:qFormat/>
    <w:rPr>
      <w:rFonts w:cs="OpenSymbol"/>
    </w:rPr>
  </w:style>
  <w:style w:type="character" w:styleId="ListLabel1335">
    <w:name w:val="ListLabel 1335"/>
    <w:qFormat/>
    <w:rPr>
      <w:rFonts w:cs="OpenSymbol"/>
    </w:rPr>
  </w:style>
  <w:style w:type="character" w:styleId="ListLabel1336">
    <w:name w:val="ListLabel 1336"/>
    <w:qFormat/>
    <w:rPr>
      <w:rFonts w:cs="OpenSymbol"/>
    </w:rPr>
  </w:style>
  <w:style w:type="character" w:styleId="ListLabel1337">
    <w:name w:val="ListLabel 1337"/>
    <w:qFormat/>
    <w:rPr>
      <w:rFonts w:cs="OpenSymbol"/>
    </w:rPr>
  </w:style>
  <w:style w:type="character" w:styleId="ListLabel1338">
    <w:name w:val="ListLabel 1338"/>
    <w:qFormat/>
    <w:rPr>
      <w:rFonts w:cs="Times New Roman"/>
    </w:rPr>
  </w:style>
  <w:style w:type="character" w:styleId="ListLabel1339">
    <w:name w:val="ListLabel 1339"/>
    <w:qFormat/>
    <w:rPr>
      <w:rFonts w:cs="Times New Roman"/>
    </w:rPr>
  </w:style>
  <w:style w:type="character" w:styleId="ListLabel1340">
    <w:name w:val="ListLabel 1340"/>
    <w:qFormat/>
    <w:rPr>
      <w:rFonts w:cs="Times New Roman"/>
    </w:rPr>
  </w:style>
  <w:style w:type="character" w:styleId="ListLabel1341">
    <w:name w:val="ListLabel 1341"/>
    <w:qFormat/>
    <w:rPr>
      <w:rFonts w:cs="Times New Roman"/>
    </w:rPr>
  </w:style>
  <w:style w:type="character" w:styleId="ListLabel1342">
    <w:name w:val="ListLabel 1342"/>
    <w:qFormat/>
    <w:rPr>
      <w:rFonts w:cs="Times New Roman"/>
    </w:rPr>
  </w:style>
  <w:style w:type="character" w:styleId="ListLabel1343">
    <w:name w:val="ListLabel 1343"/>
    <w:qFormat/>
    <w:rPr>
      <w:rFonts w:cs="Times New Roman"/>
    </w:rPr>
  </w:style>
  <w:style w:type="character" w:styleId="ListLabel1344">
    <w:name w:val="ListLabel 1344"/>
    <w:qFormat/>
    <w:rPr>
      <w:rFonts w:cs="Times New Roman"/>
    </w:rPr>
  </w:style>
  <w:style w:type="character" w:styleId="ListLabel1345">
    <w:name w:val="ListLabel 1345"/>
    <w:qFormat/>
    <w:rPr>
      <w:rFonts w:cs="Times New Roman"/>
    </w:rPr>
  </w:style>
  <w:style w:type="character" w:styleId="ListLabel1346">
    <w:name w:val="ListLabel 1346"/>
    <w:qFormat/>
    <w:rPr>
      <w:rFonts w:cs="Times New Roman"/>
    </w:rPr>
  </w:style>
  <w:style w:type="character" w:styleId="ListLabel1347">
    <w:name w:val="ListLabel 1347"/>
    <w:qFormat/>
    <w:rPr>
      <w:rFonts w:cs="Times New Roman"/>
    </w:rPr>
  </w:style>
  <w:style w:type="character" w:styleId="ListLabel1348">
    <w:name w:val="ListLabel 1348"/>
    <w:qFormat/>
    <w:rPr>
      <w:rFonts w:cs="Times New Roman"/>
    </w:rPr>
  </w:style>
  <w:style w:type="character" w:styleId="ListLabel1349">
    <w:name w:val="ListLabel 1349"/>
    <w:qFormat/>
    <w:rPr>
      <w:rFonts w:cs="Times New Roman"/>
    </w:rPr>
  </w:style>
  <w:style w:type="character" w:styleId="ListLabel1350">
    <w:name w:val="ListLabel 1350"/>
    <w:qFormat/>
    <w:rPr>
      <w:rFonts w:cs="OpenSymbol"/>
    </w:rPr>
  </w:style>
  <w:style w:type="character" w:styleId="ListLabel1351">
    <w:name w:val="ListLabel 1351"/>
    <w:qFormat/>
    <w:rPr>
      <w:rFonts w:cs="OpenSymbol"/>
    </w:rPr>
  </w:style>
  <w:style w:type="character" w:styleId="ListLabel1352">
    <w:name w:val="ListLabel 1352"/>
    <w:qFormat/>
    <w:rPr>
      <w:rFonts w:cs="OpenSymbol"/>
    </w:rPr>
  </w:style>
  <w:style w:type="character" w:styleId="ListLabel1353">
    <w:name w:val="ListLabel 1353"/>
    <w:qFormat/>
    <w:rPr>
      <w:rFonts w:cs="OpenSymbol"/>
    </w:rPr>
  </w:style>
  <w:style w:type="character" w:styleId="ListLabel1354">
    <w:name w:val="ListLabel 1354"/>
    <w:qFormat/>
    <w:rPr>
      <w:rFonts w:cs="OpenSymbol"/>
    </w:rPr>
  </w:style>
  <w:style w:type="character" w:styleId="ListLabel1355">
    <w:name w:val="ListLabel 1355"/>
    <w:qFormat/>
    <w:rPr>
      <w:rFonts w:cs="OpenSymbol"/>
    </w:rPr>
  </w:style>
  <w:style w:type="character" w:styleId="ListLabel1356">
    <w:name w:val="ListLabel 1356"/>
    <w:qFormat/>
    <w:rPr>
      <w:rFonts w:cs="OpenSymbol"/>
    </w:rPr>
  </w:style>
  <w:style w:type="character" w:styleId="ListLabel1357">
    <w:name w:val="ListLabel 1357"/>
    <w:qFormat/>
    <w:rPr>
      <w:rFonts w:cs="OpenSymbol"/>
    </w:rPr>
  </w:style>
  <w:style w:type="character" w:styleId="ListLabel1358">
    <w:name w:val="ListLabel 1358"/>
    <w:qFormat/>
    <w:rPr>
      <w:rFonts w:cs="OpenSymbol"/>
    </w:rPr>
  </w:style>
  <w:style w:type="character" w:styleId="ListLabel1359">
    <w:name w:val="ListLabel 1359"/>
    <w:qFormat/>
    <w:rPr>
      <w:rFonts w:cs="OpenSymbol"/>
    </w:rPr>
  </w:style>
  <w:style w:type="character" w:styleId="ListLabel1360">
    <w:name w:val="ListLabel 1360"/>
    <w:qFormat/>
    <w:rPr>
      <w:rFonts w:cs="OpenSymbol"/>
    </w:rPr>
  </w:style>
  <w:style w:type="character" w:styleId="ListLabel1361">
    <w:name w:val="ListLabel 1361"/>
    <w:qFormat/>
    <w:rPr>
      <w:rFonts w:cs="OpenSymbol"/>
    </w:rPr>
  </w:style>
  <w:style w:type="character" w:styleId="ListLabel1362">
    <w:name w:val="ListLabel 1362"/>
    <w:qFormat/>
    <w:rPr>
      <w:rFonts w:cs="OpenSymbol"/>
    </w:rPr>
  </w:style>
  <w:style w:type="character" w:styleId="ListLabel1363">
    <w:name w:val="ListLabel 1363"/>
    <w:qFormat/>
    <w:rPr>
      <w:rFonts w:cs="OpenSymbol"/>
    </w:rPr>
  </w:style>
  <w:style w:type="character" w:styleId="ListLabel1364">
    <w:name w:val="ListLabel 1364"/>
    <w:qFormat/>
    <w:rPr>
      <w:rFonts w:cs="OpenSymbol"/>
    </w:rPr>
  </w:style>
  <w:style w:type="character" w:styleId="ListLabel1365">
    <w:name w:val="ListLabel 1365"/>
    <w:qFormat/>
    <w:rPr>
      <w:rFonts w:cs="OpenSymbol"/>
    </w:rPr>
  </w:style>
  <w:style w:type="character" w:styleId="ListLabel1366">
    <w:name w:val="ListLabel 1366"/>
    <w:qFormat/>
    <w:rPr>
      <w:rFonts w:cs="OpenSymbol"/>
    </w:rPr>
  </w:style>
  <w:style w:type="character" w:styleId="ListLabel1367">
    <w:name w:val="ListLabel 1367"/>
    <w:qFormat/>
    <w:rPr>
      <w:rFonts w:cs="OpenSymbol"/>
    </w:rPr>
  </w:style>
  <w:style w:type="character" w:styleId="ListLabel1368">
    <w:name w:val="ListLabel 1368"/>
    <w:qFormat/>
    <w:rPr>
      <w:rFonts w:cs="OpenSymbol"/>
    </w:rPr>
  </w:style>
  <w:style w:type="character" w:styleId="ListLabel1369">
    <w:name w:val="ListLabel 1369"/>
    <w:qFormat/>
    <w:rPr>
      <w:rFonts w:cs="OpenSymbol"/>
    </w:rPr>
  </w:style>
  <w:style w:type="character" w:styleId="ListLabel1370">
    <w:name w:val="ListLabel 1370"/>
    <w:qFormat/>
    <w:rPr>
      <w:rFonts w:cs="OpenSymbol"/>
    </w:rPr>
  </w:style>
  <w:style w:type="character" w:styleId="ListLabel1371">
    <w:name w:val="ListLabel 1371"/>
    <w:qFormat/>
    <w:rPr>
      <w:rFonts w:cs="OpenSymbol"/>
    </w:rPr>
  </w:style>
  <w:style w:type="character" w:styleId="ListLabel1372">
    <w:name w:val="ListLabel 1372"/>
    <w:qFormat/>
    <w:rPr>
      <w:rFonts w:cs="OpenSymbol"/>
    </w:rPr>
  </w:style>
  <w:style w:type="character" w:styleId="ListLabel1373">
    <w:name w:val="ListLabel 1373"/>
    <w:qFormat/>
    <w:rPr>
      <w:rFonts w:cs="OpenSymbol"/>
    </w:rPr>
  </w:style>
  <w:style w:type="character" w:styleId="ListLabel1374">
    <w:name w:val="ListLabel 1374"/>
    <w:qFormat/>
    <w:rPr>
      <w:rFonts w:cs="OpenSymbol"/>
    </w:rPr>
  </w:style>
  <w:style w:type="character" w:styleId="ListLabel1375">
    <w:name w:val="ListLabel 1375"/>
    <w:qFormat/>
    <w:rPr>
      <w:rFonts w:cs="OpenSymbol"/>
    </w:rPr>
  </w:style>
  <w:style w:type="character" w:styleId="ListLabel1376">
    <w:name w:val="ListLabel 1376"/>
    <w:qFormat/>
    <w:rPr>
      <w:rFonts w:cs="OpenSymbol"/>
    </w:rPr>
  </w:style>
  <w:style w:type="character" w:styleId="ListLabel1377">
    <w:name w:val="ListLabel 1377"/>
    <w:qFormat/>
    <w:rPr>
      <w:rFonts w:cs="OpenSymbol"/>
    </w:rPr>
  </w:style>
  <w:style w:type="character" w:styleId="ListLabel1378">
    <w:name w:val="ListLabel 1378"/>
    <w:qFormat/>
    <w:rPr>
      <w:rFonts w:cs="OpenSymbol"/>
    </w:rPr>
  </w:style>
  <w:style w:type="character" w:styleId="ListLabel1379">
    <w:name w:val="ListLabel 1379"/>
    <w:qFormat/>
    <w:rPr>
      <w:rFonts w:cs="OpenSymbol"/>
    </w:rPr>
  </w:style>
  <w:style w:type="character" w:styleId="ListLabel1380">
    <w:name w:val="ListLabel 1380"/>
    <w:qFormat/>
    <w:rPr>
      <w:rFonts w:cs="OpenSymbol"/>
    </w:rPr>
  </w:style>
  <w:style w:type="character" w:styleId="ListLabel1381">
    <w:name w:val="ListLabel 1381"/>
    <w:qFormat/>
    <w:rPr>
      <w:rFonts w:cs="OpenSymbol"/>
    </w:rPr>
  </w:style>
  <w:style w:type="character" w:styleId="ListLabel1382">
    <w:name w:val="ListLabel 1382"/>
    <w:qFormat/>
    <w:rPr>
      <w:rFonts w:cs="OpenSymbol"/>
    </w:rPr>
  </w:style>
  <w:style w:type="character" w:styleId="ListLabel1383">
    <w:name w:val="ListLabel 1383"/>
    <w:qFormat/>
    <w:rPr>
      <w:rFonts w:cs="OpenSymbol"/>
    </w:rPr>
  </w:style>
  <w:style w:type="character" w:styleId="ListLabel1384">
    <w:name w:val="ListLabel 1384"/>
    <w:qFormat/>
    <w:rPr>
      <w:rFonts w:cs="OpenSymbol"/>
    </w:rPr>
  </w:style>
  <w:style w:type="character" w:styleId="ListLabel1385">
    <w:name w:val="ListLabel 1385"/>
    <w:qFormat/>
    <w:rPr>
      <w:rFonts w:cs="OpenSymbol"/>
    </w:rPr>
  </w:style>
  <w:style w:type="character" w:styleId="ListLabel1386">
    <w:name w:val="ListLabel 1386"/>
    <w:qFormat/>
    <w:rPr>
      <w:rFonts w:cs="OpenSymbol"/>
    </w:rPr>
  </w:style>
  <w:style w:type="character" w:styleId="ListLabel1387">
    <w:name w:val="ListLabel 1387"/>
    <w:qFormat/>
    <w:rPr>
      <w:rFonts w:cs="OpenSymbol"/>
    </w:rPr>
  </w:style>
  <w:style w:type="character" w:styleId="ListLabel1388">
    <w:name w:val="ListLabel 1388"/>
    <w:qFormat/>
    <w:rPr>
      <w:rFonts w:cs="OpenSymbol"/>
    </w:rPr>
  </w:style>
  <w:style w:type="character" w:styleId="ListLabel1389">
    <w:name w:val="ListLabel 1389"/>
    <w:qFormat/>
    <w:rPr>
      <w:rFonts w:cs="OpenSymbol"/>
    </w:rPr>
  </w:style>
  <w:style w:type="character" w:styleId="ListLabel1390">
    <w:name w:val="ListLabel 1390"/>
    <w:qFormat/>
    <w:rPr>
      <w:rFonts w:cs="OpenSymbol"/>
    </w:rPr>
  </w:style>
  <w:style w:type="character" w:styleId="ListLabel1391">
    <w:name w:val="ListLabel 1391"/>
    <w:qFormat/>
    <w:rPr>
      <w:rFonts w:cs="OpenSymbol"/>
    </w:rPr>
  </w:style>
  <w:style w:type="character" w:styleId="ListLabel1392">
    <w:name w:val="ListLabel 1392"/>
    <w:qFormat/>
    <w:rPr>
      <w:rFonts w:cs="OpenSymbol"/>
    </w:rPr>
  </w:style>
  <w:style w:type="character" w:styleId="ListLabel1393">
    <w:name w:val="ListLabel 1393"/>
    <w:qFormat/>
    <w:rPr>
      <w:rFonts w:cs="OpenSymbol"/>
    </w:rPr>
  </w:style>
  <w:style w:type="character" w:styleId="ListLabel1394">
    <w:name w:val="ListLabel 1394"/>
    <w:qFormat/>
    <w:rPr>
      <w:rFonts w:cs="OpenSymbol"/>
    </w:rPr>
  </w:style>
  <w:style w:type="character" w:styleId="ListLabel1395">
    <w:name w:val="ListLabel 1395"/>
    <w:qFormat/>
    <w:rPr>
      <w:rFonts w:cs="OpenSymbol"/>
    </w:rPr>
  </w:style>
  <w:style w:type="character" w:styleId="ListLabel1396">
    <w:name w:val="ListLabel 1396"/>
    <w:qFormat/>
    <w:rPr>
      <w:rFonts w:cs="OpenSymbol"/>
    </w:rPr>
  </w:style>
  <w:style w:type="character" w:styleId="ListLabel1397">
    <w:name w:val="ListLabel 1397"/>
    <w:qFormat/>
    <w:rPr>
      <w:rFonts w:cs="OpenSymbol"/>
    </w:rPr>
  </w:style>
  <w:style w:type="character" w:styleId="ListLabel1398">
    <w:name w:val="ListLabel 1398"/>
    <w:qFormat/>
    <w:rPr>
      <w:rFonts w:cs="OpenSymbol"/>
    </w:rPr>
  </w:style>
  <w:style w:type="character" w:styleId="ListLabel1399">
    <w:name w:val="ListLabel 1399"/>
    <w:qFormat/>
    <w:rPr>
      <w:rFonts w:cs="OpenSymbol"/>
    </w:rPr>
  </w:style>
  <w:style w:type="character" w:styleId="ListLabel1400">
    <w:name w:val="ListLabel 1400"/>
    <w:qFormat/>
    <w:rPr>
      <w:rFonts w:cs="OpenSymbol"/>
    </w:rPr>
  </w:style>
  <w:style w:type="character" w:styleId="ListLabel1401">
    <w:name w:val="ListLabel 1401"/>
    <w:qFormat/>
    <w:rPr>
      <w:rFonts w:cs="OpenSymbol"/>
    </w:rPr>
  </w:style>
  <w:style w:type="character" w:styleId="ListLabel1402">
    <w:name w:val="ListLabel 1402"/>
    <w:qFormat/>
    <w:rPr>
      <w:rFonts w:cs="OpenSymbol"/>
    </w:rPr>
  </w:style>
  <w:style w:type="character" w:styleId="ListLabel1403">
    <w:name w:val="ListLabel 1403"/>
    <w:qFormat/>
    <w:rPr>
      <w:rFonts w:cs="OpenSymbol"/>
    </w:rPr>
  </w:style>
  <w:style w:type="character" w:styleId="ListLabel1404">
    <w:name w:val="ListLabel 1404"/>
    <w:qFormat/>
    <w:rPr>
      <w:rFonts w:cs="Times New Roman"/>
    </w:rPr>
  </w:style>
  <w:style w:type="character" w:styleId="ListLabel1405">
    <w:name w:val="ListLabel 1405"/>
    <w:qFormat/>
    <w:rPr>
      <w:rFonts w:cs="Times New Roman"/>
    </w:rPr>
  </w:style>
  <w:style w:type="character" w:styleId="ListLabel1406">
    <w:name w:val="ListLabel 1406"/>
    <w:qFormat/>
    <w:rPr>
      <w:rFonts w:cs="Times New Roman"/>
    </w:rPr>
  </w:style>
  <w:style w:type="character" w:styleId="ListLabel1407">
    <w:name w:val="ListLabel 1407"/>
    <w:qFormat/>
    <w:rPr>
      <w:rFonts w:cs="Times New Roman"/>
    </w:rPr>
  </w:style>
  <w:style w:type="character" w:styleId="ListLabel1408">
    <w:name w:val="ListLabel 1408"/>
    <w:qFormat/>
    <w:rPr>
      <w:rFonts w:cs="Times New Roman"/>
    </w:rPr>
  </w:style>
  <w:style w:type="character" w:styleId="ListLabel1409">
    <w:name w:val="ListLabel 1409"/>
    <w:qFormat/>
    <w:rPr>
      <w:rFonts w:cs="Times New Roman"/>
    </w:rPr>
  </w:style>
  <w:style w:type="character" w:styleId="ListLabel1410">
    <w:name w:val="ListLabel 1410"/>
    <w:qFormat/>
    <w:rPr>
      <w:rFonts w:cs="Times New Roman"/>
    </w:rPr>
  </w:style>
  <w:style w:type="character" w:styleId="ListLabel1411">
    <w:name w:val="ListLabel 1411"/>
    <w:qFormat/>
    <w:rPr>
      <w:rFonts w:cs="Times New Roman"/>
    </w:rPr>
  </w:style>
  <w:style w:type="character" w:styleId="ListLabel1412">
    <w:name w:val="ListLabel 1412"/>
    <w:qFormat/>
    <w:rPr>
      <w:rFonts w:cs="Times New Roman"/>
    </w:rPr>
  </w:style>
  <w:style w:type="character" w:styleId="ListLabel1413">
    <w:name w:val="ListLabel 1413"/>
    <w:qFormat/>
    <w:rPr>
      <w:rFonts w:cs="Times New Roman"/>
    </w:rPr>
  </w:style>
  <w:style w:type="character" w:styleId="ListLabel1414">
    <w:name w:val="ListLabel 1414"/>
    <w:qFormat/>
    <w:rPr>
      <w:rFonts w:cs="Times New Roman"/>
    </w:rPr>
  </w:style>
  <w:style w:type="character" w:styleId="ListLabel1415">
    <w:name w:val="ListLabel 1415"/>
    <w:qFormat/>
    <w:rPr>
      <w:rFonts w:cs="Times New Roman"/>
    </w:rPr>
  </w:style>
  <w:style w:type="character" w:styleId="ListLabel1416">
    <w:name w:val="ListLabel 1416"/>
    <w:qFormat/>
    <w:rPr>
      <w:rFonts w:cs="OpenSymbol"/>
    </w:rPr>
  </w:style>
  <w:style w:type="character" w:styleId="ListLabel1417">
    <w:name w:val="ListLabel 1417"/>
    <w:qFormat/>
    <w:rPr>
      <w:rFonts w:cs="OpenSymbol"/>
    </w:rPr>
  </w:style>
  <w:style w:type="character" w:styleId="ListLabel1418">
    <w:name w:val="ListLabel 1418"/>
    <w:qFormat/>
    <w:rPr>
      <w:rFonts w:cs="OpenSymbol"/>
    </w:rPr>
  </w:style>
  <w:style w:type="character" w:styleId="ListLabel1419">
    <w:name w:val="ListLabel 1419"/>
    <w:qFormat/>
    <w:rPr>
      <w:rFonts w:cs="OpenSymbol"/>
    </w:rPr>
  </w:style>
  <w:style w:type="character" w:styleId="ListLabel1420">
    <w:name w:val="ListLabel 1420"/>
    <w:qFormat/>
    <w:rPr>
      <w:rFonts w:cs="OpenSymbol"/>
    </w:rPr>
  </w:style>
  <w:style w:type="character" w:styleId="ListLabel1421">
    <w:name w:val="ListLabel 1421"/>
    <w:qFormat/>
    <w:rPr>
      <w:rFonts w:cs="OpenSymbol"/>
    </w:rPr>
  </w:style>
  <w:style w:type="character" w:styleId="ListLabel1422">
    <w:name w:val="ListLabel 1422"/>
    <w:qFormat/>
    <w:rPr>
      <w:rFonts w:cs="OpenSymbol"/>
    </w:rPr>
  </w:style>
  <w:style w:type="character" w:styleId="ListLabel1423">
    <w:name w:val="ListLabel 1423"/>
    <w:qFormat/>
    <w:rPr>
      <w:rFonts w:cs="OpenSymbol"/>
    </w:rPr>
  </w:style>
  <w:style w:type="character" w:styleId="ListLabel1424">
    <w:name w:val="ListLabel 1424"/>
    <w:qFormat/>
    <w:rPr>
      <w:rFonts w:cs="OpenSymbol"/>
    </w:rPr>
  </w:style>
  <w:style w:type="character" w:styleId="ListLabel1425">
    <w:name w:val="ListLabel 1425"/>
    <w:qFormat/>
    <w:rPr>
      <w:rFonts w:cs="OpenSymbol"/>
    </w:rPr>
  </w:style>
  <w:style w:type="character" w:styleId="ListLabel1426">
    <w:name w:val="ListLabel 1426"/>
    <w:qFormat/>
    <w:rPr>
      <w:rFonts w:cs="OpenSymbol"/>
    </w:rPr>
  </w:style>
  <w:style w:type="character" w:styleId="ListLabel1427">
    <w:name w:val="ListLabel 1427"/>
    <w:qFormat/>
    <w:rPr>
      <w:rFonts w:cs="OpenSymbol"/>
    </w:rPr>
  </w:style>
  <w:style w:type="character" w:styleId="ListLabel1428">
    <w:name w:val="ListLabel 1428"/>
    <w:qFormat/>
    <w:rPr>
      <w:rFonts w:cs="OpenSymbol"/>
    </w:rPr>
  </w:style>
  <w:style w:type="character" w:styleId="ListLabel1429">
    <w:name w:val="ListLabel 1429"/>
    <w:qFormat/>
    <w:rPr>
      <w:rFonts w:cs="OpenSymbol"/>
    </w:rPr>
  </w:style>
  <w:style w:type="character" w:styleId="ListLabel1430">
    <w:name w:val="ListLabel 1430"/>
    <w:qFormat/>
    <w:rPr>
      <w:rFonts w:cs="OpenSymbol"/>
    </w:rPr>
  </w:style>
  <w:style w:type="character" w:styleId="ListLabel1431">
    <w:name w:val="ListLabel 1431"/>
    <w:qFormat/>
    <w:rPr>
      <w:rFonts w:cs="OpenSymbol"/>
    </w:rPr>
  </w:style>
  <w:style w:type="character" w:styleId="ListLabel1432">
    <w:name w:val="ListLabel 1432"/>
    <w:qFormat/>
    <w:rPr>
      <w:rFonts w:cs="OpenSymbol"/>
    </w:rPr>
  </w:style>
  <w:style w:type="character" w:styleId="ListLabel1433">
    <w:name w:val="ListLabel 1433"/>
    <w:qFormat/>
    <w:rPr>
      <w:rFonts w:cs="OpenSymbol"/>
    </w:rPr>
  </w:style>
  <w:style w:type="character" w:styleId="ListLabel1434">
    <w:name w:val="ListLabel 1434"/>
    <w:qFormat/>
    <w:rPr>
      <w:rFonts w:cs="OpenSymbol"/>
    </w:rPr>
  </w:style>
  <w:style w:type="character" w:styleId="ListLabel1435">
    <w:name w:val="ListLabel 1435"/>
    <w:qFormat/>
    <w:rPr>
      <w:rFonts w:cs="OpenSymbol"/>
    </w:rPr>
  </w:style>
  <w:style w:type="character" w:styleId="ListLabel1436">
    <w:name w:val="ListLabel 1436"/>
    <w:qFormat/>
    <w:rPr>
      <w:rFonts w:cs="OpenSymbol"/>
    </w:rPr>
  </w:style>
  <w:style w:type="character" w:styleId="ListLabel1437">
    <w:name w:val="ListLabel 1437"/>
    <w:qFormat/>
    <w:rPr>
      <w:rFonts w:cs="OpenSymbol"/>
    </w:rPr>
  </w:style>
  <w:style w:type="character" w:styleId="ListLabel1438">
    <w:name w:val="ListLabel 1438"/>
    <w:qFormat/>
    <w:rPr>
      <w:rFonts w:cs="OpenSymbol"/>
    </w:rPr>
  </w:style>
  <w:style w:type="character" w:styleId="ListLabel1439">
    <w:name w:val="ListLabel 1439"/>
    <w:qFormat/>
    <w:rPr>
      <w:rFonts w:cs="OpenSymbol"/>
    </w:rPr>
  </w:style>
  <w:style w:type="character" w:styleId="ListLabel1440">
    <w:name w:val="ListLabel 1440"/>
    <w:qFormat/>
    <w:rPr>
      <w:rFonts w:cs="OpenSymbol"/>
    </w:rPr>
  </w:style>
  <w:style w:type="character" w:styleId="ListLabel1441">
    <w:name w:val="ListLabel 1441"/>
    <w:qFormat/>
    <w:rPr>
      <w:rFonts w:cs="OpenSymbol"/>
    </w:rPr>
  </w:style>
  <w:style w:type="character" w:styleId="ListLabel1442">
    <w:name w:val="ListLabel 1442"/>
    <w:qFormat/>
    <w:rPr>
      <w:rFonts w:cs="OpenSymbol"/>
    </w:rPr>
  </w:style>
  <w:style w:type="character" w:styleId="ListLabel1443">
    <w:name w:val="ListLabel 1443"/>
    <w:qFormat/>
    <w:rPr>
      <w:rFonts w:cs="OpenSymbol"/>
    </w:rPr>
  </w:style>
  <w:style w:type="character" w:styleId="ListLabel1444">
    <w:name w:val="ListLabel 1444"/>
    <w:qFormat/>
    <w:rPr>
      <w:rFonts w:cs="OpenSymbol"/>
    </w:rPr>
  </w:style>
  <w:style w:type="character" w:styleId="ListLabel1445">
    <w:name w:val="ListLabel 1445"/>
    <w:qFormat/>
    <w:rPr>
      <w:rFonts w:cs="OpenSymbol"/>
    </w:rPr>
  </w:style>
  <w:style w:type="character" w:styleId="ListLabel1446">
    <w:name w:val="ListLabel 1446"/>
    <w:qFormat/>
    <w:rPr>
      <w:rFonts w:cs="OpenSymbol"/>
    </w:rPr>
  </w:style>
  <w:style w:type="character" w:styleId="ListLabel1447">
    <w:name w:val="ListLabel 1447"/>
    <w:qFormat/>
    <w:rPr>
      <w:rFonts w:cs="OpenSymbol"/>
    </w:rPr>
  </w:style>
  <w:style w:type="character" w:styleId="ListLabel1448">
    <w:name w:val="ListLabel 1448"/>
    <w:qFormat/>
    <w:rPr>
      <w:rFonts w:cs="OpenSymbol"/>
    </w:rPr>
  </w:style>
  <w:style w:type="character" w:styleId="ListLabel1449">
    <w:name w:val="ListLabel 1449"/>
    <w:qFormat/>
    <w:rPr>
      <w:rFonts w:cs="OpenSymbol"/>
    </w:rPr>
  </w:style>
  <w:style w:type="character" w:styleId="ListLabel1450">
    <w:name w:val="ListLabel 1450"/>
    <w:qFormat/>
    <w:rPr>
      <w:rFonts w:cs="OpenSymbol"/>
    </w:rPr>
  </w:style>
  <w:style w:type="character" w:styleId="ListLabel1451">
    <w:name w:val="ListLabel 1451"/>
    <w:qFormat/>
    <w:rPr>
      <w:rFonts w:cs="OpenSymbol"/>
    </w:rPr>
  </w:style>
  <w:style w:type="character" w:styleId="ListLabel1452">
    <w:name w:val="ListLabel 1452"/>
    <w:qFormat/>
    <w:rPr>
      <w:rFonts w:cs="OpenSymbol"/>
    </w:rPr>
  </w:style>
  <w:style w:type="character" w:styleId="ListLabel1453">
    <w:name w:val="ListLabel 1453"/>
    <w:qFormat/>
    <w:rPr>
      <w:rFonts w:cs="OpenSymbol"/>
    </w:rPr>
  </w:style>
  <w:style w:type="character" w:styleId="ListLabel1454">
    <w:name w:val="ListLabel 1454"/>
    <w:qFormat/>
    <w:rPr>
      <w:rFonts w:cs="OpenSymbol"/>
    </w:rPr>
  </w:style>
  <w:style w:type="character" w:styleId="ListLabel1455">
    <w:name w:val="ListLabel 1455"/>
    <w:qFormat/>
    <w:rPr>
      <w:rFonts w:cs="OpenSymbol"/>
    </w:rPr>
  </w:style>
  <w:style w:type="character" w:styleId="ListLabel1456">
    <w:name w:val="ListLabel 1456"/>
    <w:qFormat/>
    <w:rPr>
      <w:rFonts w:cs="OpenSymbol"/>
    </w:rPr>
  </w:style>
  <w:style w:type="character" w:styleId="ListLabel1457">
    <w:name w:val="ListLabel 1457"/>
    <w:qFormat/>
    <w:rPr>
      <w:rFonts w:cs="OpenSymbol"/>
    </w:rPr>
  </w:style>
  <w:style w:type="character" w:styleId="ListLabel1458">
    <w:name w:val="ListLabel 1458"/>
    <w:qFormat/>
    <w:rPr>
      <w:rFonts w:cs="OpenSymbol"/>
    </w:rPr>
  </w:style>
  <w:style w:type="character" w:styleId="ListLabel1459">
    <w:name w:val="ListLabel 1459"/>
    <w:qFormat/>
    <w:rPr>
      <w:rFonts w:cs="OpenSymbol"/>
    </w:rPr>
  </w:style>
  <w:style w:type="character" w:styleId="ListLabel1460">
    <w:name w:val="ListLabel 1460"/>
    <w:qFormat/>
    <w:rPr>
      <w:rFonts w:cs="OpenSymbol"/>
    </w:rPr>
  </w:style>
  <w:style w:type="character" w:styleId="ListLabel1461">
    <w:name w:val="ListLabel 1461"/>
    <w:qFormat/>
    <w:rPr>
      <w:rFonts w:cs="OpenSymbol"/>
    </w:rPr>
  </w:style>
  <w:style w:type="character" w:styleId="ListLabel1462">
    <w:name w:val="ListLabel 1462"/>
    <w:qFormat/>
    <w:rPr>
      <w:rFonts w:cs="OpenSymbol"/>
    </w:rPr>
  </w:style>
  <w:style w:type="character" w:styleId="ListLabel1463">
    <w:name w:val="ListLabel 1463"/>
    <w:qFormat/>
    <w:rPr>
      <w:rFonts w:cs="OpenSymbol"/>
    </w:rPr>
  </w:style>
  <w:style w:type="character" w:styleId="ListLabel1464">
    <w:name w:val="ListLabel 1464"/>
    <w:qFormat/>
    <w:rPr>
      <w:rFonts w:cs="OpenSymbol"/>
    </w:rPr>
  </w:style>
  <w:style w:type="character" w:styleId="ListLabel1465">
    <w:name w:val="ListLabel 1465"/>
    <w:qFormat/>
    <w:rPr>
      <w:rFonts w:cs="OpenSymbol"/>
    </w:rPr>
  </w:style>
  <w:style w:type="character" w:styleId="ListLabel1466">
    <w:name w:val="ListLabel 1466"/>
    <w:qFormat/>
    <w:rPr>
      <w:rFonts w:cs="OpenSymbol"/>
    </w:rPr>
  </w:style>
  <w:style w:type="character" w:styleId="ListLabel1467">
    <w:name w:val="ListLabel 1467"/>
    <w:qFormat/>
    <w:rPr>
      <w:rFonts w:cs="OpenSymbol"/>
    </w:rPr>
  </w:style>
  <w:style w:type="character" w:styleId="ListLabel1468">
    <w:name w:val="ListLabel 1468"/>
    <w:qFormat/>
    <w:rPr>
      <w:rFonts w:cs="OpenSymbol"/>
    </w:rPr>
  </w:style>
  <w:style w:type="character" w:styleId="ListLabel1469">
    <w:name w:val="ListLabel 1469"/>
    <w:qFormat/>
    <w:rPr>
      <w:rFonts w:cs="OpenSymbol"/>
    </w:rPr>
  </w:style>
  <w:style w:type="character" w:styleId="ListLabel1470">
    <w:name w:val="ListLabel 1470"/>
    <w:qFormat/>
    <w:rPr>
      <w:rFonts w:cs="Times New Roman"/>
    </w:rPr>
  </w:style>
  <w:style w:type="character" w:styleId="ListLabel1471">
    <w:name w:val="ListLabel 1471"/>
    <w:qFormat/>
    <w:rPr>
      <w:rFonts w:cs="Times New Roman"/>
    </w:rPr>
  </w:style>
  <w:style w:type="character" w:styleId="ListLabel1472">
    <w:name w:val="ListLabel 1472"/>
    <w:qFormat/>
    <w:rPr>
      <w:rFonts w:cs="Times New Roman"/>
    </w:rPr>
  </w:style>
  <w:style w:type="character" w:styleId="ListLabel1473">
    <w:name w:val="ListLabel 1473"/>
    <w:qFormat/>
    <w:rPr>
      <w:rFonts w:cs="Times New Roman"/>
    </w:rPr>
  </w:style>
  <w:style w:type="character" w:styleId="ListLabel1474">
    <w:name w:val="ListLabel 1474"/>
    <w:qFormat/>
    <w:rPr>
      <w:rFonts w:cs="Times New Roman"/>
    </w:rPr>
  </w:style>
  <w:style w:type="character" w:styleId="ListLabel1475">
    <w:name w:val="ListLabel 1475"/>
    <w:qFormat/>
    <w:rPr>
      <w:rFonts w:cs="Times New Roman"/>
    </w:rPr>
  </w:style>
  <w:style w:type="character" w:styleId="ListLabel1476">
    <w:name w:val="ListLabel 1476"/>
    <w:qFormat/>
    <w:rPr>
      <w:rFonts w:cs="Times New Roman"/>
    </w:rPr>
  </w:style>
  <w:style w:type="character" w:styleId="ListLabel1477">
    <w:name w:val="ListLabel 1477"/>
    <w:qFormat/>
    <w:rPr>
      <w:rFonts w:cs="Times New Roman"/>
    </w:rPr>
  </w:style>
  <w:style w:type="character" w:styleId="ListLabel1478">
    <w:name w:val="ListLabel 1478"/>
    <w:qFormat/>
    <w:rPr>
      <w:rFonts w:cs="Times New Roman"/>
    </w:rPr>
  </w:style>
  <w:style w:type="character" w:styleId="ListLabel1479">
    <w:name w:val="ListLabel 1479"/>
    <w:qFormat/>
    <w:rPr>
      <w:rFonts w:cs="Times New Roman"/>
    </w:rPr>
  </w:style>
  <w:style w:type="character" w:styleId="ListLabel1480">
    <w:name w:val="ListLabel 1480"/>
    <w:qFormat/>
    <w:rPr>
      <w:rFonts w:cs="Times New Roman"/>
    </w:rPr>
  </w:style>
  <w:style w:type="character" w:styleId="ListLabel1481">
    <w:name w:val="ListLabel 1481"/>
    <w:qFormat/>
    <w:rPr>
      <w:rFonts w:cs="Times New Roman"/>
    </w:rPr>
  </w:style>
  <w:style w:type="character" w:styleId="ListLabel1482">
    <w:name w:val="ListLabel 1482"/>
    <w:qFormat/>
    <w:rPr>
      <w:rFonts w:cs="OpenSymbol"/>
    </w:rPr>
  </w:style>
  <w:style w:type="character" w:styleId="ListLabel1483">
    <w:name w:val="ListLabel 1483"/>
    <w:qFormat/>
    <w:rPr>
      <w:rFonts w:cs="OpenSymbol"/>
    </w:rPr>
  </w:style>
  <w:style w:type="character" w:styleId="ListLabel1484">
    <w:name w:val="ListLabel 1484"/>
    <w:qFormat/>
    <w:rPr>
      <w:rFonts w:cs="OpenSymbol"/>
    </w:rPr>
  </w:style>
  <w:style w:type="character" w:styleId="ListLabel1485">
    <w:name w:val="ListLabel 1485"/>
    <w:qFormat/>
    <w:rPr>
      <w:rFonts w:cs="OpenSymbol"/>
    </w:rPr>
  </w:style>
  <w:style w:type="character" w:styleId="ListLabel1486">
    <w:name w:val="ListLabel 1486"/>
    <w:qFormat/>
    <w:rPr>
      <w:rFonts w:cs="OpenSymbol"/>
    </w:rPr>
  </w:style>
  <w:style w:type="character" w:styleId="ListLabel1487">
    <w:name w:val="ListLabel 1487"/>
    <w:qFormat/>
    <w:rPr>
      <w:rFonts w:cs="OpenSymbol"/>
    </w:rPr>
  </w:style>
  <w:style w:type="character" w:styleId="ListLabel1488">
    <w:name w:val="ListLabel 1488"/>
    <w:qFormat/>
    <w:rPr>
      <w:rFonts w:cs="OpenSymbol"/>
    </w:rPr>
  </w:style>
  <w:style w:type="character" w:styleId="ListLabel1489">
    <w:name w:val="ListLabel 1489"/>
    <w:qFormat/>
    <w:rPr>
      <w:rFonts w:cs="OpenSymbol"/>
    </w:rPr>
  </w:style>
  <w:style w:type="character" w:styleId="ListLabel1490">
    <w:name w:val="ListLabel 1490"/>
    <w:qFormat/>
    <w:rPr>
      <w:rFonts w:cs="OpenSymbol"/>
    </w:rPr>
  </w:style>
  <w:style w:type="character" w:styleId="ListLabel1491">
    <w:name w:val="ListLabel 1491"/>
    <w:qFormat/>
    <w:rPr>
      <w:rFonts w:cs="OpenSymbol"/>
    </w:rPr>
  </w:style>
  <w:style w:type="character" w:styleId="ListLabel1492">
    <w:name w:val="ListLabel 1492"/>
    <w:qFormat/>
    <w:rPr>
      <w:rFonts w:cs="OpenSymbol"/>
    </w:rPr>
  </w:style>
  <w:style w:type="character" w:styleId="ListLabel1493">
    <w:name w:val="ListLabel 1493"/>
    <w:qFormat/>
    <w:rPr>
      <w:rFonts w:cs="OpenSymbol"/>
    </w:rPr>
  </w:style>
  <w:style w:type="character" w:styleId="ListLabel1494">
    <w:name w:val="ListLabel 1494"/>
    <w:qFormat/>
    <w:rPr>
      <w:rFonts w:cs="OpenSymbol"/>
    </w:rPr>
  </w:style>
  <w:style w:type="character" w:styleId="ListLabel1495">
    <w:name w:val="ListLabel 1495"/>
    <w:qFormat/>
    <w:rPr>
      <w:rFonts w:cs="OpenSymbol"/>
    </w:rPr>
  </w:style>
  <w:style w:type="character" w:styleId="ListLabel1496">
    <w:name w:val="ListLabel 1496"/>
    <w:qFormat/>
    <w:rPr>
      <w:rFonts w:cs="OpenSymbol"/>
    </w:rPr>
  </w:style>
  <w:style w:type="character" w:styleId="ListLabel1497">
    <w:name w:val="ListLabel 1497"/>
    <w:qFormat/>
    <w:rPr>
      <w:rFonts w:cs="OpenSymbol"/>
    </w:rPr>
  </w:style>
  <w:style w:type="character" w:styleId="ListLabel1498">
    <w:name w:val="ListLabel 1498"/>
    <w:qFormat/>
    <w:rPr>
      <w:rFonts w:cs="OpenSymbol"/>
    </w:rPr>
  </w:style>
  <w:style w:type="character" w:styleId="ListLabel1499">
    <w:name w:val="ListLabel 1499"/>
    <w:qFormat/>
    <w:rPr>
      <w:rFonts w:cs="OpenSymbol"/>
    </w:rPr>
  </w:style>
  <w:style w:type="character" w:styleId="ListLabel1500">
    <w:name w:val="ListLabel 1500"/>
    <w:qFormat/>
    <w:rPr>
      <w:rFonts w:cs="OpenSymbol"/>
    </w:rPr>
  </w:style>
  <w:style w:type="character" w:styleId="ListLabel1501">
    <w:name w:val="ListLabel 1501"/>
    <w:qFormat/>
    <w:rPr>
      <w:rFonts w:cs="OpenSymbol"/>
    </w:rPr>
  </w:style>
  <w:style w:type="character" w:styleId="ListLabel1502">
    <w:name w:val="ListLabel 1502"/>
    <w:qFormat/>
    <w:rPr>
      <w:rFonts w:cs="OpenSymbol"/>
    </w:rPr>
  </w:style>
  <w:style w:type="character" w:styleId="ListLabel1503">
    <w:name w:val="ListLabel 1503"/>
    <w:qFormat/>
    <w:rPr>
      <w:rFonts w:cs="OpenSymbol"/>
    </w:rPr>
  </w:style>
  <w:style w:type="character" w:styleId="ListLabel1504">
    <w:name w:val="ListLabel 1504"/>
    <w:qFormat/>
    <w:rPr>
      <w:rFonts w:cs="OpenSymbol"/>
    </w:rPr>
  </w:style>
  <w:style w:type="character" w:styleId="ListLabel1505">
    <w:name w:val="ListLabel 1505"/>
    <w:qFormat/>
    <w:rPr>
      <w:rFonts w:cs="OpenSymbol"/>
    </w:rPr>
  </w:style>
  <w:style w:type="character" w:styleId="ListLabel1506">
    <w:name w:val="ListLabel 1506"/>
    <w:qFormat/>
    <w:rPr>
      <w:rFonts w:cs="OpenSymbol"/>
    </w:rPr>
  </w:style>
  <w:style w:type="character" w:styleId="ListLabel1507">
    <w:name w:val="ListLabel 1507"/>
    <w:qFormat/>
    <w:rPr>
      <w:rFonts w:cs="OpenSymbol"/>
    </w:rPr>
  </w:style>
  <w:style w:type="character" w:styleId="ListLabel1508">
    <w:name w:val="ListLabel 1508"/>
    <w:qFormat/>
    <w:rPr>
      <w:rFonts w:cs="OpenSymbol"/>
    </w:rPr>
  </w:style>
  <w:style w:type="character" w:styleId="ListLabel1509">
    <w:name w:val="ListLabel 1509"/>
    <w:qFormat/>
    <w:rPr>
      <w:rFonts w:cs="OpenSymbol"/>
    </w:rPr>
  </w:style>
  <w:style w:type="character" w:styleId="ListLabel1510">
    <w:name w:val="ListLabel 1510"/>
    <w:qFormat/>
    <w:rPr>
      <w:rFonts w:cs="OpenSymbol"/>
    </w:rPr>
  </w:style>
  <w:style w:type="character" w:styleId="ListLabel1511">
    <w:name w:val="ListLabel 1511"/>
    <w:qFormat/>
    <w:rPr>
      <w:rFonts w:cs="OpenSymbol"/>
    </w:rPr>
  </w:style>
  <w:style w:type="character" w:styleId="ListLabel1512">
    <w:name w:val="ListLabel 1512"/>
    <w:qFormat/>
    <w:rPr>
      <w:rFonts w:cs="OpenSymbol"/>
    </w:rPr>
  </w:style>
  <w:style w:type="character" w:styleId="ListLabel1513">
    <w:name w:val="ListLabel 1513"/>
    <w:qFormat/>
    <w:rPr>
      <w:rFonts w:cs="OpenSymbol"/>
    </w:rPr>
  </w:style>
  <w:style w:type="character" w:styleId="ListLabel1514">
    <w:name w:val="ListLabel 1514"/>
    <w:qFormat/>
    <w:rPr>
      <w:rFonts w:cs="OpenSymbol"/>
    </w:rPr>
  </w:style>
  <w:style w:type="character" w:styleId="ListLabel1515">
    <w:name w:val="ListLabel 1515"/>
    <w:qFormat/>
    <w:rPr>
      <w:rFonts w:cs="OpenSymbol"/>
    </w:rPr>
  </w:style>
  <w:style w:type="character" w:styleId="ListLabel1516">
    <w:name w:val="ListLabel 1516"/>
    <w:qFormat/>
    <w:rPr>
      <w:rFonts w:cs="OpenSymbol"/>
    </w:rPr>
  </w:style>
  <w:style w:type="character" w:styleId="ListLabel1517">
    <w:name w:val="ListLabel 1517"/>
    <w:qFormat/>
    <w:rPr>
      <w:rFonts w:cs="OpenSymbol"/>
    </w:rPr>
  </w:style>
  <w:style w:type="character" w:styleId="ListLabel1518">
    <w:name w:val="ListLabel 1518"/>
    <w:qFormat/>
    <w:rPr>
      <w:rFonts w:cs="OpenSymbol"/>
    </w:rPr>
  </w:style>
  <w:style w:type="character" w:styleId="ListLabel1519">
    <w:name w:val="ListLabel 1519"/>
    <w:qFormat/>
    <w:rPr>
      <w:rFonts w:cs="OpenSymbol"/>
    </w:rPr>
  </w:style>
  <w:style w:type="character" w:styleId="ListLabel1520">
    <w:name w:val="ListLabel 1520"/>
    <w:qFormat/>
    <w:rPr>
      <w:rFonts w:cs="OpenSymbol"/>
    </w:rPr>
  </w:style>
  <w:style w:type="character" w:styleId="ListLabel1521">
    <w:name w:val="ListLabel 1521"/>
    <w:qFormat/>
    <w:rPr>
      <w:rFonts w:cs="OpenSymbol"/>
    </w:rPr>
  </w:style>
  <w:style w:type="character" w:styleId="ListLabel1522">
    <w:name w:val="ListLabel 1522"/>
    <w:qFormat/>
    <w:rPr>
      <w:rFonts w:cs="OpenSymbol"/>
    </w:rPr>
  </w:style>
  <w:style w:type="character" w:styleId="ListLabel1523">
    <w:name w:val="ListLabel 1523"/>
    <w:qFormat/>
    <w:rPr>
      <w:rFonts w:cs="OpenSymbol"/>
    </w:rPr>
  </w:style>
  <w:style w:type="character" w:styleId="ListLabel1524">
    <w:name w:val="ListLabel 1524"/>
    <w:qFormat/>
    <w:rPr>
      <w:rFonts w:cs="OpenSymbol"/>
    </w:rPr>
  </w:style>
  <w:style w:type="character" w:styleId="ListLabel1525">
    <w:name w:val="ListLabel 1525"/>
    <w:qFormat/>
    <w:rPr>
      <w:rFonts w:cs="OpenSymbol"/>
    </w:rPr>
  </w:style>
  <w:style w:type="character" w:styleId="ListLabel1526">
    <w:name w:val="ListLabel 1526"/>
    <w:qFormat/>
    <w:rPr>
      <w:rFonts w:cs="OpenSymbol"/>
    </w:rPr>
  </w:style>
  <w:style w:type="character" w:styleId="ListLabel1527">
    <w:name w:val="ListLabel 1527"/>
    <w:qFormat/>
    <w:rPr>
      <w:rFonts w:cs="OpenSymbol"/>
    </w:rPr>
  </w:style>
  <w:style w:type="character" w:styleId="ListLabel1528">
    <w:name w:val="ListLabel 1528"/>
    <w:qFormat/>
    <w:rPr>
      <w:rFonts w:cs="OpenSymbol"/>
    </w:rPr>
  </w:style>
  <w:style w:type="character" w:styleId="ListLabel1529">
    <w:name w:val="ListLabel 1529"/>
    <w:qFormat/>
    <w:rPr>
      <w:rFonts w:cs="OpenSymbol"/>
    </w:rPr>
  </w:style>
  <w:style w:type="character" w:styleId="ListLabel1530">
    <w:name w:val="ListLabel 1530"/>
    <w:qFormat/>
    <w:rPr>
      <w:rFonts w:cs="OpenSymbol"/>
    </w:rPr>
  </w:style>
  <w:style w:type="character" w:styleId="ListLabel1531">
    <w:name w:val="ListLabel 1531"/>
    <w:qFormat/>
    <w:rPr>
      <w:rFonts w:cs="OpenSymbol"/>
    </w:rPr>
  </w:style>
  <w:style w:type="character" w:styleId="ListLabel1532">
    <w:name w:val="ListLabel 1532"/>
    <w:qFormat/>
    <w:rPr>
      <w:rFonts w:cs="OpenSymbol"/>
    </w:rPr>
  </w:style>
  <w:style w:type="character" w:styleId="ListLabel1533">
    <w:name w:val="ListLabel 1533"/>
    <w:qFormat/>
    <w:rPr>
      <w:rFonts w:cs="OpenSymbol"/>
    </w:rPr>
  </w:style>
  <w:style w:type="character" w:styleId="ListLabel1534">
    <w:name w:val="ListLabel 1534"/>
    <w:qFormat/>
    <w:rPr>
      <w:rFonts w:cs="OpenSymbol"/>
    </w:rPr>
  </w:style>
  <w:style w:type="character" w:styleId="ListLabel1535">
    <w:name w:val="ListLabel 1535"/>
    <w:qFormat/>
    <w:rPr>
      <w:rFonts w:cs="OpenSymbol"/>
    </w:rPr>
  </w:style>
  <w:style w:type="character" w:styleId="ListLabel1536">
    <w:name w:val="ListLabel 1536"/>
    <w:qFormat/>
    <w:rPr>
      <w:rFonts w:cs="Times New Roman"/>
    </w:rPr>
  </w:style>
  <w:style w:type="character" w:styleId="ListLabel1537">
    <w:name w:val="ListLabel 1537"/>
    <w:qFormat/>
    <w:rPr>
      <w:rFonts w:cs="Times New Roman"/>
    </w:rPr>
  </w:style>
  <w:style w:type="character" w:styleId="ListLabel1538">
    <w:name w:val="ListLabel 1538"/>
    <w:qFormat/>
    <w:rPr>
      <w:rFonts w:cs="Times New Roman"/>
    </w:rPr>
  </w:style>
  <w:style w:type="character" w:styleId="ListLabel1539">
    <w:name w:val="ListLabel 1539"/>
    <w:qFormat/>
    <w:rPr>
      <w:rFonts w:cs="Times New Roman"/>
    </w:rPr>
  </w:style>
  <w:style w:type="character" w:styleId="ListLabel1540">
    <w:name w:val="ListLabel 1540"/>
    <w:qFormat/>
    <w:rPr>
      <w:rFonts w:cs="Times New Roman"/>
    </w:rPr>
  </w:style>
  <w:style w:type="character" w:styleId="ListLabel1541">
    <w:name w:val="ListLabel 1541"/>
    <w:qFormat/>
    <w:rPr>
      <w:rFonts w:cs="Times New Roman"/>
    </w:rPr>
  </w:style>
  <w:style w:type="character" w:styleId="ListLabel1542">
    <w:name w:val="ListLabel 1542"/>
    <w:qFormat/>
    <w:rPr>
      <w:rFonts w:cs="Times New Roman"/>
    </w:rPr>
  </w:style>
  <w:style w:type="character" w:styleId="ListLabel1543">
    <w:name w:val="ListLabel 1543"/>
    <w:qFormat/>
    <w:rPr>
      <w:rFonts w:cs="Times New Roman"/>
    </w:rPr>
  </w:style>
  <w:style w:type="character" w:styleId="ListLabel1544">
    <w:name w:val="ListLabel 1544"/>
    <w:qFormat/>
    <w:rPr>
      <w:rFonts w:cs="Times New Roman"/>
    </w:rPr>
  </w:style>
  <w:style w:type="character" w:styleId="ListLabel1545">
    <w:name w:val="ListLabel 1545"/>
    <w:qFormat/>
    <w:rPr>
      <w:rFonts w:cs="Times New Roman"/>
    </w:rPr>
  </w:style>
  <w:style w:type="character" w:styleId="ListLabel1546">
    <w:name w:val="ListLabel 1546"/>
    <w:qFormat/>
    <w:rPr>
      <w:rFonts w:cs="Times New Roman"/>
    </w:rPr>
  </w:style>
  <w:style w:type="character" w:styleId="ListLabel1547">
    <w:name w:val="ListLabel 1547"/>
    <w:qFormat/>
    <w:rPr>
      <w:rFonts w:cs="Times New Roman"/>
    </w:rPr>
  </w:style>
  <w:style w:type="character" w:styleId="ListLabel1548">
    <w:name w:val="ListLabel 1548"/>
    <w:qFormat/>
    <w:rPr>
      <w:rFonts w:cs="OpenSymbol"/>
    </w:rPr>
  </w:style>
  <w:style w:type="character" w:styleId="ListLabel1549">
    <w:name w:val="ListLabel 1549"/>
    <w:qFormat/>
    <w:rPr>
      <w:rFonts w:cs="OpenSymbol"/>
    </w:rPr>
  </w:style>
  <w:style w:type="character" w:styleId="ListLabel1550">
    <w:name w:val="ListLabel 1550"/>
    <w:qFormat/>
    <w:rPr>
      <w:rFonts w:cs="OpenSymbol"/>
    </w:rPr>
  </w:style>
  <w:style w:type="character" w:styleId="ListLabel1551">
    <w:name w:val="ListLabel 1551"/>
    <w:qFormat/>
    <w:rPr>
      <w:rFonts w:cs="OpenSymbol"/>
    </w:rPr>
  </w:style>
  <w:style w:type="character" w:styleId="ListLabel1552">
    <w:name w:val="ListLabel 1552"/>
    <w:qFormat/>
    <w:rPr>
      <w:rFonts w:cs="OpenSymbol"/>
    </w:rPr>
  </w:style>
  <w:style w:type="character" w:styleId="ListLabel1553">
    <w:name w:val="ListLabel 1553"/>
    <w:qFormat/>
    <w:rPr>
      <w:rFonts w:cs="OpenSymbol"/>
    </w:rPr>
  </w:style>
  <w:style w:type="character" w:styleId="ListLabel1554">
    <w:name w:val="ListLabel 1554"/>
    <w:qFormat/>
    <w:rPr>
      <w:rFonts w:cs="OpenSymbol"/>
    </w:rPr>
  </w:style>
  <w:style w:type="character" w:styleId="ListLabel1555">
    <w:name w:val="ListLabel 1555"/>
    <w:qFormat/>
    <w:rPr>
      <w:rFonts w:cs="OpenSymbol"/>
    </w:rPr>
  </w:style>
  <w:style w:type="character" w:styleId="ListLabel1556">
    <w:name w:val="ListLabel 1556"/>
    <w:qFormat/>
    <w:rPr>
      <w:rFonts w:cs="OpenSymbol"/>
    </w:rPr>
  </w:style>
  <w:style w:type="character" w:styleId="ListLabel1557">
    <w:name w:val="ListLabel 1557"/>
    <w:qFormat/>
    <w:rPr>
      <w:rFonts w:cs="OpenSymbol"/>
    </w:rPr>
  </w:style>
  <w:style w:type="character" w:styleId="ListLabel1558">
    <w:name w:val="ListLabel 1558"/>
    <w:qFormat/>
    <w:rPr>
      <w:rFonts w:cs="OpenSymbol"/>
    </w:rPr>
  </w:style>
  <w:style w:type="character" w:styleId="ListLabel1559">
    <w:name w:val="ListLabel 1559"/>
    <w:qFormat/>
    <w:rPr>
      <w:rFonts w:cs="OpenSymbol"/>
    </w:rPr>
  </w:style>
  <w:style w:type="character" w:styleId="ListLabel1560">
    <w:name w:val="ListLabel 1560"/>
    <w:qFormat/>
    <w:rPr>
      <w:rFonts w:cs="OpenSymbol"/>
    </w:rPr>
  </w:style>
  <w:style w:type="character" w:styleId="ListLabel1561">
    <w:name w:val="ListLabel 1561"/>
    <w:qFormat/>
    <w:rPr>
      <w:rFonts w:cs="OpenSymbol"/>
    </w:rPr>
  </w:style>
  <w:style w:type="character" w:styleId="ListLabel1562">
    <w:name w:val="ListLabel 1562"/>
    <w:qFormat/>
    <w:rPr>
      <w:rFonts w:cs="OpenSymbol"/>
    </w:rPr>
  </w:style>
  <w:style w:type="character" w:styleId="ListLabel1563">
    <w:name w:val="ListLabel 1563"/>
    <w:qFormat/>
    <w:rPr>
      <w:rFonts w:cs="OpenSymbol"/>
    </w:rPr>
  </w:style>
  <w:style w:type="character" w:styleId="ListLabel1564">
    <w:name w:val="ListLabel 1564"/>
    <w:qFormat/>
    <w:rPr>
      <w:rFonts w:cs="OpenSymbol"/>
    </w:rPr>
  </w:style>
  <w:style w:type="character" w:styleId="ListLabel1565">
    <w:name w:val="ListLabel 1565"/>
    <w:qFormat/>
    <w:rPr>
      <w:rFonts w:cs="OpenSymbol"/>
    </w:rPr>
  </w:style>
  <w:style w:type="character" w:styleId="ListLabel1566">
    <w:name w:val="ListLabel 1566"/>
    <w:qFormat/>
    <w:rPr>
      <w:rFonts w:cs="OpenSymbol"/>
    </w:rPr>
  </w:style>
  <w:style w:type="character" w:styleId="ListLabel1567">
    <w:name w:val="ListLabel 1567"/>
    <w:qFormat/>
    <w:rPr>
      <w:rFonts w:cs="OpenSymbol"/>
    </w:rPr>
  </w:style>
  <w:style w:type="character" w:styleId="ListLabel1568">
    <w:name w:val="ListLabel 1568"/>
    <w:qFormat/>
    <w:rPr>
      <w:rFonts w:cs="OpenSymbol"/>
    </w:rPr>
  </w:style>
  <w:style w:type="character" w:styleId="ListLabel1569">
    <w:name w:val="ListLabel 1569"/>
    <w:qFormat/>
    <w:rPr>
      <w:rFonts w:cs="OpenSymbol"/>
    </w:rPr>
  </w:style>
  <w:style w:type="character" w:styleId="ListLabel1570">
    <w:name w:val="ListLabel 1570"/>
    <w:qFormat/>
    <w:rPr>
      <w:rFonts w:cs="OpenSymbol"/>
    </w:rPr>
  </w:style>
  <w:style w:type="character" w:styleId="ListLabel1571">
    <w:name w:val="ListLabel 1571"/>
    <w:qFormat/>
    <w:rPr>
      <w:rFonts w:cs="OpenSymbol"/>
    </w:rPr>
  </w:style>
  <w:style w:type="character" w:styleId="ListLabel1572">
    <w:name w:val="ListLabel 1572"/>
    <w:qFormat/>
    <w:rPr>
      <w:rFonts w:cs="OpenSymbol"/>
    </w:rPr>
  </w:style>
  <w:style w:type="character" w:styleId="ListLabel1573">
    <w:name w:val="ListLabel 1573"/>
    <w:qFormat/>
    <w:rPr>
      <w:rFonts w:cs="OpenSymbol"/>
    </w:rPr>
  </w:style>
  <w:style w:type="character" w:styleId="ListLabel1574">
    <w:name w:val="ListLabel 1574"/>
    <w:qFormat/>
    <w:rPr>
      <w:rFonts w:cs="OpenSymbol"/>
    </w:rPr>
  </w:style>
  <w:style w:type="character" w:styleId="ListLabel1575">
    <w:name w:val="ListLabel 1575"/>
    <w:qFormat/>
    <w:rPr>
      <w:rFonts w:cs="OpenSymbol"/>
    </w:rPr>
  </w:style>
  <w:style w:type="character" w:styleId="ListLabel1576">
    <w:name w:val="ListLabel 1576"/>
    <w:qFormat/>
    <w:rPr>
      <w:rFonts w:cs="OpenSymbol"/>
    </w:rPr>
  </w:style>
  <w:style w:type="character" w:styleId="ListLabel1577">
    <w:name w:val="ListLabel 1577"/>
    <w:qFormat/>
    <w:rPr>
      <w:rFonts w:cs="OpenSymbol"/>
    </w:rPr>
  </w:style>
  <w:style w:type="character" w:styleId="ListLabel1578">
    <w:name w:val="ListLabel 1578"/>
    <w:qFormat/>
    <w:rPr>
      <w:rFonts w:cs="OpenSymbol"/>
    </w:rPr>
  </w:style>
  <w:style w:type="character" w:styleId="ListLabel1579">
    <w:name w:val="ListLabel 1579"/>
    <w:qFormat/>
    <w:rPr>
      <w:rFonts w:cs="OpenSymbol"/>
    </w:rPr>
  </w:style>
  <w:style w:type="character" w:styleId="ListLabel1580">
    <w:name w:val="ListLabel 1580"/>
    <w:qFormat/>
    <w:rPr>
      <w:rFonts w:cs="OpenSymbol"/>
    </w:rPr>
  </w:style>
  <w:style w:type="character" w:styleId="ListLabel1581">
    <w:name w:val="ListLabel 1581"/>
    <w:qFormat/>
    <w:rPr>
      <w:rFonts w:cs="OpenSymbol"/>
    </w:rPr>
  </w:style>
  <w:style w:type="character" w:styleId="ListLabel1582">
    <w:name w:val="ListLabel 1582"/>
    <w:qFormat/>
    <w:rPr>
      <w:rFonts w:cs="OpenSymbol"/>
    </w:rPr>
  </w:style>
  <w:style w:type="character" w:styleId="ListLabel1583">
    <w:name w:val="ListLabel 1583"/>
    <w:qFormat/>
    <w:rPr>
      <w:rFonts w:cs="OpenSymbol"/>
    </w:rPr>
  </w:style>
  <w:style w:type="character" w:styleId="ListLabel1584">
    <w:name w:val="ListLabel 1584"/>
    <w:qFormat/>
    <w:rPr>
      <w:rFonts w:cs="OpenSymbol"/>
    </w:rPr>
  </w:style>
  <w:style w:type="character" w:styleId="ListLabel1585">
    <w:name w:val="ListLabel 1585"/>
    <w:qFormat/>
    <w:rPr>
      <w:rFonts w:cs="OpenSymbol"/>
    </w:rPr>
  </w:style>
  <w:style w:type="character" w:styleId="ListLabel1586">
    <w:name w:val="ListLabel 1586"/>
    <w:qFormat/>
    <w:rPr>
      <w:rFonts w:cs="OpenSymbol"/>
    </w:rPr>
  </w:style>
  <w:style w:type="character" w:styleId="ListLabel1587">
    <w:name w:val="ListLabel 1587"/>
    <w:qFormat/>
    <w:rPr>
      <w:rFonts w:cs="OpenSymbol"/>
    </w:rPr>
  </w:style>
  <w:style w:type="character" w:styleId="ListLabel1588">
    <w:name w:val="ListLabel 1588"/>
    <w:qFormat/>
    <w:rPr>
      <w:rFonts w:cs="OpenSymbol"/>
    </w:rPr>
  </w:style>
  <w:style w:type="character" w:styleId="ListLabel1589">
    <w:name w:val="ListLabel 1589"/>
    <w:qFormat/>
    <w:rPr>
      <w:rFonts w:cs="OpenSymbol"/>
    </w:rPr>
  </w:style>
  <w:style w:type="character" w:styleId="ListLabel1590">
    <w:name w:val="ListLabel 1590"/>
    <w:qFormat/>
    <w:rPr>
      <w:rFonts w:cs="OpenSymbol"/>
    </w:rPr>
  </w:style>
  <w:style w:type="character" w:styleId="ListLabel1591">
    <w:name w:val="ListLabel 1591"/>
    <w:qFormat/>
    <w:rPr>
      <w:rFonts w:cs="OpenSymbol"/>
    </w:rPr>
  </w:style>
  <w:style w:type="character" w:styleId="ListLabel1592">
    <w:name w:val="ListLabel 1592"/>
    <w:qFormat/>
    <w:rPr>
      <w:rFonts w:cs="OpenSymbol"/>
    </w:rPr>
  </w:style>
  <w:style w:type="character" w:styleId="ListLabel1593">
    <w:name w:val="ListLabel 1593"/>
    <w:qFormat/>
    <w:rPr>
      <w:rFonts w:cs="OpenSymbol"/>
    </w:rPr>
  </w:style>
  <w:style w:type="character" w:styleId="ListLabel1594">
    <w:name w:val="ListLabel 1594"/>
    <w:qFormat/>
    <w:rPr>
      <w:rFonts w:cs="OpenSymbol"/>
    </w:rPr>
  </w:style>
  <w:style w:type="character" w:styleId="ListLabel1595">
    <w:name w:val="ListLabel 1595"/>
    <w:qFormat/>
    <w:rPr>
      <w:rFonts w:cs="OpenSymbol"/>
    </w:rPr>
  </w:style>
  <w:style w:type="character" w:styleId="ListLabel1596">
    <w:name w:val="ListLabel 1596"/>
    <w:qFormat/>
    <w:rPr>
      <w:rFonts w:cs="OpenSymbol"/>
    </w:rPr>
  </w:style>
  <w:style w:type="character" w:styleId="ListLabel1597">
    <w:name w:val="ListLabel 1597"/>
    <w:qFormat/>
    <w:rPr>
      <w:rFonts w:cs="OpenSymbol"/>
    </w:rPr>
  </w:style>
  <w:style w:type="character" w:styleId="ListLabel1598">
    <w:name w:val="ListLabel 1598"/>
    <w:qFormat/>
    <w:rPr>
      <w:rFonts w:cs="OpenSymbol"/>
    </w:rPr>
  </w:style>
  <w:style w:type="character" w:styleId="ListLabel1599">
    <w:name w:val="ListLabel 1599"/>
    <w:qFormat/>
    <w:rPr>
      <w:rFonts w:cs="OpenSymbol"/>
    </w:rPr>
  </w:style>
  <w:style w:type="character" w:styleId="ListLabel1600">
    <w:name w:val="ListLabel 1600"/>
    <w:qFormat/>
    <w:rPr>
      <w:rFonts w:cs="OpenSymbol"/>
    </w:rPr>
  </w:style>
  <w:style w:type="character" w:styleId="ListLabel1601">
    <w:name w:val="ListLabel 1601"/>
    <w:qFormat/>
    <w:rPr>
      <w:rFonts w:cs="OpenSymbol"/>
    </w:rPr>
  </w:style>
  <w:style w:type="character" w:styleId="ListLabel1602">
    <w:name w:val="ListLabel 1602"/>
    <w:qFormat/>
    <w:rPr>
      <w:rFonts w:cs="Times New Roman"/>
    </w:rPr>
  </w:style>
  <w:style w:type="character" w:styleId="ListLabel1603">
    <w:name w:val="ListLabel 1603"/>
    <w:qFormat/>
    <w:rPr>
      <w:rFonts w:cs="Times New Roman"/>
    </w:rPr>
  </w:style>
  <w:style w:type="character" w:styleId="ListLabel1604">
    <w:name w:val="ListLabel 1604"/>
    <w:qFormat/>
    <w:rPr>
      <w:rFonts w:cs="Times New Roman"/>
    </w:rPr>
  </w:style>
  <w:style w:type="character" w:styleId="ListLabel1605">
    <w:name w:val="ListLabel 1605"/>
    <w:qFormat/>
    <w:rPr>
      <w:rFonts w:cs="Times New Roman"/>
    </w:rPr>
  </w:style>
  <w:style w:type="character" w:styleId="ListLabel1606">
    <w:name w:val="ListLabel 1606"/>
    <w:qFormat/>
    <w:rPr>
      <w:rFonts w:cs="Times New Roman"/>
    </w:rPr>
  </w:style>
  <w:style w:type="character" w:styleId="ListLabel1607">
    <w:name w:val="ListLabel 1607"/>
    <w:qFormat/>
    <w:rPr>
      <w:rFonts w:cs="Times New Roman"/>
    </w:rPr>
  </w:style>
  <w:style w:type="character" w:styleId="ListLabel1608">
    <w:name w:val="ListLabel 1608"/>
    <w:qFormat/>
    <w:rPr>
      <w:rFonts w:cs="Times New Roman"/>
    </w:rPr>
  </w:style>
  <w:style w:type="character" w:styleId="ListLabel1609">
    <w:name w:val="ListLabel 1609"/>
    <w:qFormat/>
    <w:rPr>
      <w:rFonts w:cs="Times New Roman"/>
    </w:rPr>
  </w:style>
  <w:style w:type="character" w:styleId="ListLabel1610">
    <w:name w:val="ListLabel 1610"/>
    <w:qFormat/>
    <w:rPr>
      <w:rFonts w:cs="Times New Roman"/>
    </w:rPr>
  </w:style>
  <w:style w:type="character" w:styleId="ListLabel1611">
    <w:name w:val="ListLabel 1611"/>
    <w:qFormat/>
    <w:rPr>
      <w:rFonts w:cs="Times New Roman"/>
    </w:rPr>
  </w:style>
  <w:style w:type="character" w:styleId="ListLabel1612">
    <w:name w:val="ListLabel 1612"/>
    <w:qFormat/>
    <w:rPr>
      <w:rFonts w:cs="Times New Roman"/>
    </w:rPr>
  </w:style>
  <w:style w:type="character" w:styleId="ListLabel1613">
    <w:name w:val="ListLabel 1613"/>
    <w:qFormat/>
    <w:rPr>
      <w:rFonts w:cs="Times New Roman"/>
    </w:rPr>
  </w:style>
  <w:style w:type="character" w:styleId="ListLabel1614">
    <w:name w:val="ListLabel 1614"/>
    <w:qFormat/>
    <w:rPr>
      <w:rFonts w:cs="OpenSymbol"/>
    </w:rPr>
  </w:style>
  <w:style w:type="character" w:styleId="ListLabel1615">
    <w:name w:val="ListLabel 1615"/>
    <w:qFormat/>
    <w:rPr>
      <w:rFonts w:cs="OpenSymbol"/>
    </w:rPr>
  </w:style>
  <w:style w:type="character" w:styleId="ListLabel1616">
    <w:name w:val="ListLabel 1616"/>
    <w:qFormat/>
    <w:rPr>
      <w:rFonts w:cs="OpenSymbol"/>
    </w:rPr>
  </w:style>
  <w:style w:type="character" w:styleId="ListLabel1617">
    <w:name w:val="ListLabel 1617"/>
    <w:qFormat/>
    <w:rPr>
      <w:rFonts w:cs="OpenSymbol"/>
    </w:rPr>
  </w:style>
  <w:style w:type="character" w:styleId="ListLabel1618">
    <w:name w:val="ListLabel 1618"/>
    <w:qFormat/>
    <w:rPr>
      <w:rFonts w:cs="OpenSymbol"/>
    </w:rPr>
  </w:style>
  <w:style w:type="character" w:styleId="ListLabel1619">
    <w:name w:val="ListLabel 1619"/>
    <w:qFormat/>
    <w:rPr>
      <w:rFonts w:cs="OpenSymbol"/>
    </w:rPr>
  </w:style>
  <w:style w:type="character" w:styleId="ListLabel1620">
    <w:name w:val="ListLabel 1620"/>
    <w:qFormat/>
    <w:rPr>
      <w:rFonts w:cs="OpenSymbol"/>
    </w:rPr>
  </w:style>
  <w:style w:type="character" w:styleId="ListLabel1621">
    <w:name w:val="ListLabel 1621"/>
    <w:qFormat/>
    <w:rPr>
      <w:rFonts w:cs="OpenSymbol"/>
    </w:rPr>
  </w:style>
  <w:style w:type="character" w:styleId="ListLabel1622">
    <w:name w:val="ListLabel 1622"/>
    <w:qFormat/>
    <w:rPr>
      <w:rFonts w:cs="OpenSymbol"/>
    </w:rPr>
  </w:style>
  <w:style w:type="character" w:styleId="ListLabel1623">
    <w:name w:val="ListLabel 1623"/>
    <w:qFormat/>
    <w:rPr>
      <w:rFonts w:cs="OpenSymbol"/>
    </w:rPr>
  </w:style>
  <w:style w:type="character" w:styleId="ListLabel1624">
    <w:name w:val="ListLabel 1624"/>
    <w:qFormat/>
    <w:rPr>
      <w:rFonts w:cs="OpenSymbol"/>
    </w:rPr>
  </w:style>
  <w:style w:type="character" w:styleId="ListLabel1625">
    <w:name w:val="ListLabel 1625"/>
    <w:qFormat/>
    <w:rPr>
      <w:rFonts w:cs="OpenSymbol"/>
    </w:rPr>
  </w:style>
  <w:style w:type="character" w:styleId="ListLabel1626">
    <w:name w:val="ListLabel 1626"/>
    <w:qFormat/>
    <w:rPr>
      <w:rFonts w:cs="OpenSymbol"/>
    </w:rPr>
  </w:style>
  <w:style w:type="character" w:styleId="ListLabel1627">
    <w:name w:val="ListLabel 1627"/>
    <w:qFormat/>
    <w:rPr>
      <w:rFonts w:cs="OpenSymbol"/>
    </w:rPr>
  </w:style>
  <w:style w:type="character" w:styleId="ListLabel1628">
    <w:name w:val="ListLabel 1628"/>
    <w:qFormat/>
    <w:rPr>
      <w:rFonts w:cs="OpenSymbol"/>
    </w:rPr>
  </w:style>
  <w:style w:type="character" w:styleId="ListLabel1629">
    <w:name w:val="ListLabel 1629"/>
    <w:qFormat/>
    <w:rPr>
      <w:rFonts w:cs="OpenSymbol"/>
    </w:rPr>
  </w:style>
  <w:style w:type="character" w:styleId="ListLabel1630">
    <w:name w:val="ListLabel 1630"/>
    <w:qFormat/>
    <w:rPr>
      <w:rFonts w:cs="OpenSymbol"/>
    </w:rPr>
  </w:style>
  <w:style w:type="character" w:styleId="ListLabel1631">
    <w:name w:val="ListLabel 1631"/>
    <w:qFormat/>
    <w:rPr>
      <w:rFonts w:cs="OpenSymbol"/>
    </w:rPr>
  </w:style>
  <w:style w:type="character" w:styleId="ListLabel1632">
    <w:name w:val="ListLabel 1632"/>
    <w:qFormat/>
    <w:rPr>
      <w:rFonts w:cs="OpenSymbol"/>
    </w:rPr>
  </w:style>
  <w:style w:type="character" w:styleId="ListLabel1633">
    <w:name w:val="ListLabel 1633"/>
    <w:qFormat/>
    <w:rPr>
      <w:rFonts w:cs="OpenSymbol"/>
    </w:rPr>
  </w:style>
  <w:style w:type="character" w:styleId="ListLabel1634">
    <w:name w:val="ListLabel 1634"/>
    <w:qFormat/>
    <w:rPr>
      <w:rFonts w:cs="OpenSymbol"/>
    </w:rPr>
  </w:style>
  <w:style w:type="character" w:styleId="ListLabel1635">
    <w:name w:val="ListLabel 1635"/>
    <w:qFormat/>
    <w:rPr>
      <w:rFonts w:cs="OpenSymbol"/>
    </w:rPr>
  </w:style>
  <w:style w:type="character" w:styleId="ListLabel1636">
    <w:name w:val="ListLabel 1636"/>
    <w:qFormat/>
    <w:rPr>
      <w:rFonts w:cs="OpenSymbol"/>
    </w:rPr>
  </w:style>
  <w:style w:type="character" w:styleId="ListLabel1637">
    <w:name w:val="ListLabel 1637"/>
    <w:qFormat/>
    <w:rPr>
      <w:rFonts w:cs="OpenSymbol"/>
    </w:rPr>
  </w:style>
  <w:style w:type="character" w:styleId="ListLabel1638">
    <w:name w:val="ListLabel 1638"/>
    <w:qFormat/>
    <w:rPr>
      <w:rFonts w:cs="OpenSymbol"/>
    </w:rPr>
  </w:style>
  <w:style w:type="character" w:styleId="ListLabel1639">
    <w:name w:val="ListLabel 1639"/>
    <w:qFormat/>
    <w:rPr>
      <w:rFonts w:cs="OpenSymbol"/>
    </w:rPr>
  </w:style>
  <w:style w:type="character" w:styleId="ListLabel1640">
    <w:name w:val="ListLabel 1640"/>
    <w:qFormat/>
    <w:rPr>
      <w:rFonts w:cs="OpenSymbol"/>
    </w:rPr>
  </w:style>
  <w:style w:type="character" w:styleId="ListLabel1641">
    <w:name w:val="ListLabel 1641"/>
    <w:qFormat/>
    <w:rPr>
      <w:rFonts w:cs="OpenSymbol"/>
    </w:rPr>
  </w:style>
  <w:style w:type="character" w:styleId="ListLabel1642">
    <w:name w:val="ListLabel 1642"/>
    <w:qFormat/>
    <w:rPr>
      <w:rFonts w:cs="OpenSymbol"/>
    </w:rPr>
  </w:style>
  <w:style w:type="character" w:styleId="ListLabel1643">
    <w:name w:val="ListLabel 1643"/>
    <w:qFormat/>
    <w:rPr>
      <w:rFonts w:cs="OpenSymbol"/>
    </w:rPr>
  </w:style>
  <w:style w:type="character" w:styleId="ListLabel1644">
    <w:name w:val="ListLabel 1644"/>
    <w:qFormat/>
    <w:rPr>
      <w:rFonts w:cs="OpenSymbol"/>
    </w:rPr>
  </w:style>
  <w:style w:type="character" w:styleId="ListLabel1645">
    <w:name w:val="ListLabel 1645"/>
    <w:qFormat/>
    <w:rPr>
      <w:rFonts w:cs="OpenSymbol"/>
    </w:rPr>
  </w:style>
  <w:style w:type="character" w:styleId="ListLabel1646">
    <w:name w:val="ListLabel 1646"/>
    <w:qFormat/>
    <w:rPr>
      <w:rFonts w:cs="OpenSymbol"/>
    </w:rPr>
  </w:style>
  <w:style w:type="character" w:styleId="ListLabel1647">
    <w:name w:val="ListLabel 1647"/>
    <w:qFormat/>
    <w:rPr>
      <w:rFonts w:cs="OpenSymbol"/>
    </w:rPr>
  </w:style>
  <w:style w:type="character" w:styleId="ListLabel1648">
    <w:name w:val="ListLabel 1648"/>
    <w:qFormat/>
    <w:rPr>
      <w:rFonts w:cs="OpenSymbol"/>
    </w:rPr>
  </w:style>
  <w:style w:type="character" w:styleId="ListLabel1649">
    <w:name w:val="ListLabel 1649"/>
    <w:qFormat/>
    <w:rPr>
      <w:rFonts w:cs="OpenSymbol"/>
    </w:rPr>
  </w:style>
  <w:style w:type="character" w:styleId="ListLabel1650">
    <w:name w:val="ListLabel 1650"/>
    <w:qFormat/>
    <w:rPr>
      <w:rFonts w:cs="OpenSymbol"/>
    </w:rPr>
  </w:style>
  <w:style w:type="character" w:styleId="ListLabel1651">
    <w:name w:val="ListLabel 1651"/>
    <w:qFormat/>
    <w:rPr>
      <w:rFonts w:cs="OpenSymbol"/>
    </w:rPr>
  </w:style>
  <w:style w:type="character" w:styleId="ListLabel1652">
    <w:name w:val="ListLabel 1652"/>
    <w:qFormat/>
    <w:rPr>
      <w:rFonts w:cs="OpenSymbol"/>
    </w:rPr>
  </w:style>
  <w:style w:type="character" w:styleId="ListLabel1653">
    <w:name w:val="ListLabel 1653"/>
    <w:qFormat/>
    <w:rPr>
      <w:rFonts w:cs="OpenSymbol"/>
    </w:rPr>
  </w:style>
  <w:style w:type="character" w:styleId="ListLabel1654">
    <w:name w:val="ListLabel 1654"/>
    <w:qFormat/>
    <w:rPr>
      <w:rFonts w:cs="OpenSymbol"/>
    </w:rPr>
  </w:style>
  <w:style w:type="character" w:styleId="ListLabel1655">
    <w:name w:val="ListLabel 1655"/>
    <w:qFormat/>
    <w:rPr>
      <w:rFonts w:cs="OpenSymbol"/>
    </w:rPr>
  </w:style>
  <w:style w:type="character" w:styleId="ListLabel1656">
    <w:name w:val="ListLabel 1656"/>
    <w:qFormat/>
    <w:rPr>
      <w:rFonts w:cs="OpenSymbol"/>
    </w:rPr>
  </w:style>
  <w:style w:type="character" w:styleId="ListLabel1657">
    <w:name w:val="ListLabel 1657"/>
    <w:qFormat/>
    <w:rPr>
      <w:rFonts w:cs="OpenSymbol"/>
    </w:rPr>
  </w:style>
  <w:style w:type="character" w:styleId="ListLabel1658">
    <w:name w:val="ListLabel 1658"/>
    <w:qFormat/>
    <w:rPr>
      <w:rFonts w:cs="OpenSymbol"/>
    </w:rPr>
  </w:style>
  <w:style w:type="character" w:styleId="ListLabel1659">
    <w:name w:val="ListLabel 1659"/>
    <w:qFormat/>
    <w:rPr>
      <w:rFonts w:cs="OpenSymbol"/>
    </w:rPr>
  </w:style>
  <w:style w:type="character" w:styleId="ListLabel1660">
    <w:name w:val="ListLabel 1660"/>
    <w:qFormat/>
    <w:rPr>
      <w:rFonts w:cs="OpenSymbol"/>
    </w:rPr>
  </w:style>
  <w:style w:type="character" w:styleId="ListLabel1661">
    <w:name w:val="ListLabel 1661"/>
    <w:qFormat/>
    <w:rPr>
      <w:rFonts w:cs="OpenSymbol"/>
    </w:rPr>
  </w:style>
  <w:style w:type="character" w:styleId="ListLabel1662">
    <w:name w:val="ListLabel 1662"/>
    <w:qFormat/>
    <w:rPr>
      <w:rFonts w:cs="OpenSymbol"/>
    </w:rPr>
  </w:style>
  <w:style w:type="character" w:styleId="ListLabel1663">
    <w:name w:val="ListLabel 1663"/>
    <w:qFormat/>
    <w:rPr>
      <w:rFonts w:cs="OpenSymbol"/>
    </w:rPr>
  </w:style>
  <w:style w:type="character" w:styleId="ListLabel1664">
    <w:name w:val="ListLabel 1664"/>
    <w:qFormat/>
    <w:rPr>
      <w:rFonts w:cs="OpenSymbol"/>
    </w:rPr>
  </w:style>
  <w:style w:type="character" w:styleId="ListLabel1665">
    <w:name w:val="ListLabel 1665"/>
    <w:qFormat/>
    <w:rPr>
      <w:rFonts w:cs="OpenSymbol"/>
    </w:rPr>
  </w:style>
  <w:style w:type="character" w:styleId="ListLabel1666">
    <w:name w:val="ListLabel 1666"/>
    <w:qFormat/>
    <w:rPr>
      <w:rFonts w:cs="OpenSymbol"/>
    </w:rPr>
  </w:style>
  <w:style w:type="character" w:styleId="ListLabel1667">
    <w:name w:val="ListLabel 1667"/>
    <w:qFormat/>
    <w:rPr>
      <w:rFonts w:cs="OpenSymbol"/>
    </w:rPr>
  </w:style>
  <w:style w:type="character" w:styleId="ListLabel1668">
    <w:name w:val="ListLabel 1668"/>
    <w:qFormat/>
    <w:rPr>
      <w:rFonts w:cs="Times New Roman"/>
    </w:rPr>
  </w:style>
  <w:style w:type="character" w:styleId="ListLabel1669">
    <w:name w:val="ListLabel 1669"/>
    <w:qFormat/>
    <w:rPr>
      <w:rFonts w:cs="Times New Roman"/>
    </w:rPr>
  </w:style>
  <w:style w:type="character" w:styleId="ListLabel1670">
    <w:name w:val="ListLabel 1670"/>
    <w:qFormat/>
    <w:rPr>
      <w:rFonts w:cs="Times New Roman"/>
    </w:rPr>
  </w:style>
  <w:style w:type="character" w:styleId="ListLabel1671">
    <w:name w:val="ListLabel 1671"/>
    <w:qFormat/>
    <w:rPr>
      <w:rFonts w:cs="Times New Roman"/>
    </w:rPr>
  </w:style>
  <w:style w:type="character" w:styleId="ListLabel1672">
    <w:name w:val="ListLabel 1672"/>
    <w:qFormat/>
    <w:rPr>
      <w:rFonts w:cs="Times New Roman"/>
    </w:rPr>
  </w:style>
  <w:style w:type="character" w:styleId="ListLabel1673">
    <w:name w:val="ListLabel 1673"/>
    <w:qFormat/>
    <w:rPr>
      <w:rFonts w:cs="Times New Roman"/>
    </w:rPr>
  </w:style>
  <w:style w:type="character" w:styleId="ListLabel1674">
    <w:name w:val="ListLabel 1674"/>
    <w:qFormat/>
    <w:rPr>
      <w:rFonts w:cs="Times New Roman"/>
    </w:rPr>
  </w:style>
  <w:style w:type="character" w:styleId="ListLabel1675">
    <w:name w:val="ListLabel 1675"/>
    <w:qFormat/>
    <w:rPr>
      <w:rFonts w:cs="Times New Roman"/>
    </w:rPr>
  </w:style>
  <w:style w:type="character" w:styleId="ListLabel1676">
    <w:name w:val="ListLabel 1676"/>
    <w:qFormat/>
    <w:rPr>
      <w:rFonts w:cs="Times New Roman"/>
    </w:rPr>
  </w:style>
  <w:style w:type="character" w:styleId="ListLabel1677">
    <w:name w:val="ListLabel 1677"/>
    <w:qFormat/>
    <w:rPr>
      <w:rFonts w:cs="Times New Roman"/>
    </w:rPr>
  </w:style>
  <w:style w:type="character" w:styleId="ListLabel1678">
    <w:name w:val="ListLabel 1678"/>
    <w:qFormat/>
    <w:rPr>
      <w:rFonts w:cs="Times New Roman"/>
    </w:rPr>
  </w:style>
  <w:style w:type="character" w:styleId="ListLabel1679">
    <w:name w:val="ListLabel 1679"/>
    <w:qFormat/>
    <w:rPr>
      <w:rFonts w:cs="Times New Roman"/>
    </w:rPr>
  </w:style>
  <w:style w:type="character" w:styleId="ListLabel1680">
    <w:name w:val="ListLabel 1680"/>
    <w:qFormat/>
    <w:rPr>
      <w:rFonts w:cs="OpenSymbol"/>
    </w:rPr>
  </w:style>
  <w:style w:type="character" w:styleId="ListLabel1681">
    <w:name w:val="ListLabel 1681"/>
    <w:qFormat/>
    <w:rPr>
      <w:rFonts w:cs="OpenSymbol"/>
    </w:rPr>
  </w:style>
  <w:style w:type="character" w:styleId="ListLabel1682">
    <w:name w:val="ListLabel 1682"/>
    <w:qFormat/>
    <w:rPr>
      <w:rFonts w:cs="OpenSymbol"/>
    </w:rPr>
  </w:style>
  <w:style w:type="character" w:styleId="ListLabel1683">
    <w:name w:val="ListLabel 1683"/>
    <w:qFormat/>
    <w:rPr>
      <w:rFonts w:cs="OpenSymbol"/>
    </w:rPr>
  </w:style>
  <w:style w:type="character" w:styleId="ListLabel1684">
    <w:name w:val="ListLabel 1684"/>
    <w:qFormat/>
    <w:rPr>
      <w:rFonts w:cs="OpenSymbol"/>
    </w:rPr>
  </w:style>
  <w:style w:type="character" w:styleId="ListLabel1685">
    <w:name w:val="ListLabel 1685"/>
    <w:qFormat/>
    <w:rPr>
      <w:rFonts w:cs="OpenSymbol"/>
    </w:rPr>
  </w:style>
  <w:style w:type="character" w:styleId="ListLabel1686">
    <w:name w:val="ListLabel 1686"/>
    <w:qFormat/>
    <w:rPr>
      <w:rFonts w:cs="OpenSymbol"/>
    </w:rPr>
  </w:style>
  <w:style w:type="character" w:styleId="ListLabel1687">
    <w:name w:val="ListLabel 1687"/>
    <w:qFormat/>
    <w:rPr>
      <w:rFonts w:cs="OpenSymbol"/>
    </w:rPr>
  </w:style>
  <w:style w:type="character" w:styleId="ListLabel1688">
    <w:name w:val="ListLabel 1688"/>
    <w:qFormat/>
    <w:rPr>
      <w:rFonts w:cs="OpenSymbol"/>
    </w:rPr>
  </w:style>
  <w:style w:type="character" w:styleId="ListLabel1689">
    <w:name w:val="ListLabel 1689"/>
    <w:qFormat/>
    <w:rPr>
      <w:rFonts w:cs="OpenSymbol"/>
    </w:rPr>
  </w:style>
  <w:style w:type="character" w:styleId="ListLabel1690">
    <w:name w:val="ListLabel 1690"/>
    <w:qFormat/>
    <w:rPr>
      <w:rFonts w:cs="OpenSymbol"/>
    </w:rPr>
  </w:style>
  <w:style w:type="character" w:styleId="ListLabel1691">
    <w:name w:val="ListLabel 1691"/>
    <w:qFormat/>
    <w:rPr>
      <w:rFonts w:cs="OpenSymbol"/>
    </w:rPr>
  </w:style>
  <w:style w:type="character" w:styleId="ListLabel1692">
    <w:name w:val="ListLabel 1692"/>
    <w:qFormat/>
    <w:rPr>
      <w:rFonts w:cs="OpenSymbol"/>
    </w:rPr>
  </w:style>
  <w:style w:type="character" w:styleId="ListLabel1693">
    <w:name w:val="ListLabel 1693"/>
    <w:qFormat/>
    <w:rPr>
      <w:rFonts w:cs="OpenSymbol"/>
    </w:rPr>
  </w:style>
  <w:style w:type="character" w:styleId="ListLabel1694">
    <w:name w:val="ListLabel 1694"/>
    <w:qFormat/>
    <w:rPr>
      <w:rFonts w:cs="OpenSymbol"/>
    </w:rPr>
  </w:style>
  <w:style w:type="character" w:styleId="ListLabel1695">
    <w:name w:val="ListLabel 1695"/>
    <w:qFormat/>
    <w:rPr>
      <w:rFonts w:cs="OpenSymbol"/>
    </w:rPr>
  </w:style>
  <w:style w:type="character" w:styleId="ListLabel1696">
    <w:name w:val="ListLabel 1696"/>
    <w:qFormat/>
    <w:rPr>
      <w:rFonts w:cs="OpenSymbol"/>
    </w:rPr>
  </w:style>
  <w:style w:type="character" w:styleId="ListLabel1697">
    <w:name w:val="ListLabel 1697"/>
    <w:qFormat/>
    <w:rPr>
      <w:rFonts w:cs="OpenSymbol"/>
    </w:rPr>
  </w:style>
  <w:style w:type="character" w:styleId="ListLabel1698">
    <w:name w:val="ListLabel 1698"/>
    <w:qFormat/>
    <w:rPr>
      <w:rFonts w:cs="OpenSymbol"/>
    </w:rPr>
  </w:style>
  <w:style w:type="character" w:styleId="ListLabel1699">
    <w:name w:val="ListLabel 1699"/>
    <w:qFormat/>
    <w:rPr>
      <w:rFonts w:cs="OpenSymbol"/>
    </w:rPr>
  </w:style>
  <w:style w:type="character" w:styleId="ListLabel1700">
    <w:name w:val="ListLabel 1700"/>
    <w:qFormat/>
    <w:rPr>
      <w:rFonts w:cs="OpenSymbol"/>
    </w:rPr>
  </w:style>
  <w:style w:type="character" w:styleId="ListLabel1701">
    <w:name w:val="ListLabel 1701"/>
    <w:qFormat/>
    <w:rPr>
      <w:rFonts w:cs="OpenSymbol"/>
    </w:rPr>
  </w:style>
  <w:style w:type="character" w:styleId="ListLabel1702">
    <w:name w:val="ListLabel 1702"/>
    <w:qFormat/>
    <w:rPr>
      <w:rFonts w:cs="OpenSymbol"/>
    </w:rPr>
  </w:style>
  <w:style w:type="character" w:styleId="ListLabel1703">
    <w:name w:val="ListLabel 1703"/>
    <w:qFormat/>
    <w:rPr>
      <w:rFonts w:cs="OpenSymbol"/>
    </w:rPr>
  </w:style>
  <w:style w:type="character" w:styleId="ListLabel1704">
    <w:name w:val="ListLabel 1704"/>
    <w:qFormat/>
    <w:rPr>
      <w:rFonts w:cs="OpenSymbol"/>
    </w:rPr>
  </w:style>
  <w:style w:type="character" w:styleId="ListLabel1705">
    <w:name w:val="ListLabel 1705"/>
    <w:qFormat/>
    <w:rPr>
      <w:rFonts w:cs="OpenSymbol"/>
    </w:rPr>
  </w:style>
  <w:style w:type="character" w:styleId="ListLabel1706">
    <w:name w:val="ListLabel 1706"/>
    <w:qFormat/>
    <w:rPr>
      <w:rFonts w:cs="OpenSymbol"/>
    </w:rPr>
  </w:style>
  <w:style w:type="character" w:styleId="ListLabel1707">
    <w:name w:val="ListLabel 1707"/>
    <w:qFormat/>
    <w:rPr>
      <w:rFonts w:cs="OpenSymbol"/>
    </w:rPr>
  </w:style>
  <w:style w:type="character" w:styleId="ListLabel1708">
    <w:name w:val="ListLabel 1708"/>
    <w:qFormat/>
    <w:rPr>
      <w:rFonts w:cs="OpenSymbol"/>
    </w:rPr>
  </w:style>
  <w:style w:type="character" w:styleId="ListLabel1709">
    <w:name w:val="ListLabel 1709"/>
    <w:qFormat/>
    <w:rPr>
      <w:rFonts w:cs="OpenSymbol"/>
    </w:rPr>
  </w:style>
  <w:style w:type="character" w:styleId="ListLabel1710">
    <w:name w:val="ListLabel 1710"/>
    <w:qFormat/>
    <w:rPr>
      <w:rFonts w:cs="OpenSymbol"/>
    </w:rPr>
  </w:style>
  <w:style w:type="character" w:styleId="ListLabel1711">
    <w:name w:val="ListLabel 1711"/>
    <w:qFormat/>
    <w:rPr>
      <w:rFonts w:cs="OpenSymbol"/>
    </w:rPr>
  </w:style>
  <w:style w:type="character" w:styleId="ListLabel1712">
    <w:name w:val="ListLabel 1712"/>
    <w:qFormat/>
    <w:rPr>
      <w:rFonts w:cs="OpenSymbol"/>
    </w:rPr>
  </w:style>
  <w:style w:type="character" w:styleId="ListLabel1713">
    <w:name w:val="ListLabel 1713"/>
    <w:qFormat/>
    <w:rPr>
      <w:rFonts w:cs="OpenSymbol"/>
    </w:rPr>
  </w:style>
  <w:style w:type="character" w:styleId="ListLabel1714">
    <w:name w:val="ListLabel 1714"/>
    <w:qFormat/>
    <w:rPr>
      <w:rFonts w:cs="OpenSymbol"/>
    </w:rPr>
  </w:style>
  <w:style w:type="character" w:styleId="ListLabel1715">
    <w:name w:val="ListLabel 1715"/>
    <w:qFormat/>
    <w:rPr>
      <w:rFonts w:cs="OpenSymbol"/>
    </w:rPr>
  </w:style>
  <w:style w:type="character" w:styleId="ListLabel1716">
    <w:name w:val="ListLabel 1716"/>
    <w:qFormat/>
    <w:rPr>
      <w:rFonts w:cs="OpenSymbol"/>
    </w:rPr>
  </w:style>
  <w:style w:type="character" w:styleId="ListLabel1717">
    <w:name w:val="ListLabel 1717"/>
    <w:qFormat/>
    <w:rPr>
      <w:rFonts w:cs="OpenSymbol"/>
    </w:rPr>
  </w:style>
  <w:style w:type="character" w:styleId="ListLabel1718">
    <w:name w:val="ListLabel 1718"/>
    <w:qFormat/>
    <w:rPr>
      <w:rFonts w:cs="OpenSymbol"/>
    </w:rPr>
  </w:style>
  <w:style w:type="character" w:styleId="ListLabel1719">
    <w:name w:val="ListLabel 1719"/>
    <w:qFormat/>
    <w:rPr>
      <w:rFonts w:cs="OpenSymbol"/>
    </w:rPr>
  </w:style>
  <w:style w:type="character" w:styleId="ListLabel1720">
    <w:name w:val="ListLabel 1720"/>
    <w:qFormat/>
    <w:rPr>
      <w:rFonts w:cs="OpenSymbol"/>
    </w:rPr>
  </w:style>
  <w:style w:type="character" w:styleId="ListLabel1721">
    <w:name w:val="ListLabel 1721"/>
    <w:qFormat/>
    <w:rPr>
      <w:rFonts w:cs="OpenSymbol"/>
    </w:rPr>
  </w:style>
  <w:style w:type="character" w:styleId="ListLabel1722">
    <w:name w:val="ListLabel 1722"/>
    <w:qFormat/>
    <w:rPr>
      <w:rFonts w:cs="OpenSymbol"/>
    </w:rPr>
  </w:style>
  <w:style w:type="character" w:styleId="ListLabel1723">
    <w:name w:val="ListLabel 1723"/>
    <w:qFormat/>
    <w:rPr>
      <w:rFonts w:cs="OpenSymbol"/>
    </w:rPr>
  </w:style>
  <w:style w:type="character" w:styleId="ListLabel1724">
    <w:name w:val="ListLabel 1724"/>
    <w:qFormat/>
    <w:rPr>
      <w:rFonts w:cs="OpenSymbol"/>
    </w:rPr>
  </w:style>
  <w:style w:type="character" w:styleId="ListLabel1725">
    <w:name w:val="ListLabel 1725"/>
    <w:qFormat/>
    <w:rPr>
      <w:rFonts w:cs="OpenSymbol"/>
    </w:rPr>
  </w:style>
  <w:style w:type="character" w:styleId="ListLabel1726">
    <w:name w:val="ListLabel 1726"/>
    <w:qFormat/>
    <w:rPr>
      <w:rFonts w:cs="OpenSymbol"/>
    </w:rPr>
  </w:style>
  <w:style w:type="character" w:styleId="ListLabel1727">
    <w:name w:val="ListLabel 1727"/>
    <w:qFormat/>
    <w:rPr>
      <w:rFonts w:cs="OpenSymbol"/>
    </w:rPr>
  </w:style>
  <w:style w:type="character" w:styleId="ListLabel1728">
    <w:name w:val="ListLabel 1728"/>
    <w:qFormat/>
    <w:rPr>
      <w:rFonts w:cs="OpenSymbol"/>
    </w:rPr>
  </w:style>
  <w:style w:type="character" w:styleId="ListLabel1729">
    <w:name w:val="ListLabel 1729"/>
    <w:qFormat/>
    <w:rPr>
      <w:rFonts w:cs="OpenSymbol"/>
    </w:rPr>
  </w:style>
  <w:style w:type="character" w:styleId="ListLabel1730">
    <w:name w:val="ListLabel 1730"/>
    <w:qFormat/>
    <w:rPr>
      <w:rFonts w:cs="OpenSymbol"/>
    </w:rPr>
  </w:style>
  <w:style w:type="character" w:styleId="ListLabel1731">
    <w:name w:val="ListLabel 1731"/>
    <w:qFormat/>
    <w:rPr>
      <w:rFonts w:cs="OpenSymbol"/>
    </w:rPr>
  </w:style>
  <w:style w:type="character" w:styleId="ListLabel1732">
    <w:name w:val="ListLabel 1732"/>
    <w:qFormat/>
    <w:rPr>
      <w:rFonts w:cs="OpenSymbol"/>
    </w:rPr>
  </w:style>
  <w:style w:type="character" w:styleId="ListLabel1733">
    <w:name w:val="ListLabel 1733"/>
    <w:qFormat/>
    <w:rPr>
      <w:rFonts w:cs="OpenSymbol"/>
    </w:rPr>
  </w:style>
  <w:style w:type="character" w:styleId="ListLabel1734">
    <w:name w:val="ListLabel 1734"/>
    <w:qFormat/>
    <w:rPr>
      <w:rFonts w:cs="Times New Roman"/>
    </w:rPr>
  </w:style>
  <w:style w:type="character" w:styleId="ListLabel1735">
    <w:name w:val="ListLabel 1735"/>
    <w:qFormat/>
    <w:rPr>
      <w:rFonts w:cs="Times New Roman"/>
    </w:rPr>
  </w:style>
  <w:style w:type="character" w:styleId="ListLabel1736">
    <w:name w:val="ListLabel 1736"/>
    <w:qFormat/>
    <w:rPr>
      <w:rFonts w:cs="Times New Roman"/>
    </w:rPr>
  </w:style>
  <w:style w:type="character" w:styleId="ListLabel1737">
    <w:name w:val="ListLabel 1737"/>
    <w:qFormat/>
    <w:rPr>
      <w:rFonts w:cs="Times New Roman"/>
    </w:rPr>
  </w:style>
  <w:style w:type="character" w:styleId="ListLabel1738">
    <w:name w:val="ListLabel 1738"/>
    <w:qFormat/>
    <w:rPr>
      <w:rFonts w:cs="Times New Roman"/>
    </w:rPr>
  </w:style>
  <w:style w:type="character" w:styleId="ListLabel1739">
    <w:name w:val="ListLabel 1739"/>
    <w:qFormat/>
    <w:rPr>
      <w:rFonts w:cs="Times New Roman"/>
    </w:rPr>
  </w:style>
  <w:style w:type="character" w:styleId="ListLabel1740">
    <w:name w:val="ListLabel 1740"/>
    <w:qFormat/>
    <w:rPr>
      <w:rFonts w:cs="Times New Roman"/>
    </w:rPr>
  </w:style>
  <w:style w:type="character" w:styleId="ListLabel1741">
    <w:name w:val="ListLabel 1741"/>
    <w:qFormat/>
    <w:rPr>
      <w:rFonts w:cs="Times New Roman"/>
    </w:rPr>
  </w:style>
  <w:style w:type="character" w:styleId="ListLabel1742">
    <w:name w:val="ListLabel 1742"/>
    <w:qFormat/>
    <w:rPr>
      <w:rFonts w:cs="Times New Roman"/>
    </w:rPr>
  </w:style>
  <w:style w:type="character" w:styleId="ListLabel1743">
    <w:name w:val="ListLabel 1743"/>
    <w:qFormat/>
    <w:rPr>
      <w:rFonts w:cs="Times New Roman"/>
    </w:rPr>
  </w:style>
  <w:style w:type="character" w:styleId="ListLabel1744">
    <w:name w:val="ListLabel 1744"/>
    <w:qFormat/>
    <w:rPr>
      <w:rFonts w:cs="Times New Roman"/>
    </w:rPr>
  </w:style>
  <w:style w:type="character" w:styleId="ListLabel1745">
    <w:name w:val="ListLabel 1745"/>
    <w:qFormat/>
    <w:rPr>
      <w:rFonts w:cs="Times New Roman"/>
    </w:rPr>
  </w:style>
  <w:style w:type="character" w:styleId="ListLabel1746">
    <w:name w:val="ListLabel 1746"/>
    <w:qFormat/>
    <w:rPr>
      <w:rFonts w:cs="OpenSymbol"/>
    </w:rPr>
  </w:style>
  <w:style w:type="character" w:styleId="ListLabel1747">
    <w:name w:val="ListLabel 1747"/>
    <w:qFormat/>
    <w:rPr>
      <w:rFonts w:cs="OpenSymbol"/>
    </w:rPr>
  </w:style>
  <w:style w:type="character" w:styleId="ListLabel1748">
    <w:name w:val="ListLabel 1748"/>
    <w:qFormat/>
    <w:rPr>
      <w:rFonts w:cs="OpenSymbol"/>
    </w:rPr>
  </w:style>
  <w:style w:type="character" w:styleId="ListLabel1749">
    <w:name w:val="ListLabel 1749"/>
    <w:qFormat/>
    <w:rPr>
      <w:rFonts w:cs="OpenSymbol"/>
    </w:rPr>
  </w:style>
  <w:style w:type="character" w:styleId="ListLabel1750">
    <w:name w:val="ListLabel 1750"/>
    <w:qFormat/>
    <w:rPr>
      <w:rFonts w:cs="OpenSymbol"/>
    </w:rPr>
  </w:style>
  <w:style w:type="character" w:styleId="ListLabel1751">
    <w:name w:val="ListLabel 1751"/>
    <w:qFormat/>
    <w:rPr>
      <w:rFonts w:cs="OpenSymbol"/>
    </w:rPr>
  </w:style>
  <w:style w:type="character" w:styleId="ListLabel1752">
    <w:name w:val="ListLabel 1752"/>
    <w:qFormat/>
    <w:rPr>
      <w:rFonts w:cs="OpenSymbol"/>
    </w:rPr>
  </w:style>
  <w:style w:type="character" w:styleId="ListLabel1753">
    <w:name w:val="ListLabel 1753"/>
    <w:qFormat/>
    <w:rPr>
      <w:rFonts w:cs="OpenSymbol"/>
    </w:rPr>
  </w:style>
  <w:style w:type="character" w:styleId="ListLabel1754">
    <w:name w:val="ListLabel 1754"/>
    <w:qFormat/>
    <w:rPr>
      <w:rFonts w:cs="OpenSymbol"/>
    </w:rPr>
  </w:style>
  <w:style w:type="character" w:styleId="ListLabel1755">
    <w:name w:val="ListLabel 1755"/>
    <w:qFormat/>
    <w:rPr>
      <w:rFonts w:cs="OpenSymbol"/>
    </w:rPr>
  </w:style>
  <w:style w:type="character" w:styleId="ListLabel1756">
    <w:name w:val="ListLabel 1756"/>
    <w:qFormat/>
    <w:rPr>
      <w:rFonts w:cs="OpenSymbol"/>
    </w:rPr>
  </w:style>
  <w:style w:type="character" w:styleId="ListLabel1757">
    <w:name w:val="ListLabel 1757"/>
    <w:qFormat/>
    <w:rPr>
      <w:rFonts w:cs="OpenSymbol"/>
    </w:rPr>
  </w:style>
  <w:style w:type="character" w:styleId="ListLabel1758">
    <w:name w:val="ListLabel 1758"/>
    <w:qFormat/>
    <w:rPr>
      <w:rFonts w:cs="OpenSymbol"/>
    </w:rPr>
  </w:style>
  <w:style w:type="character" w:styleId="ListLabel1759">
    <w:name w:val="ListLabel 1759"/>
    <w:qFormat/>
    <w:rPr>
      <w:rFonts w:cs="OpenSymbol"/>
    </w:rPr>
  </w:style>
  <w:style w:type="character" w:styleId="ListLabel1760">
    <w:name w:val="ListLabel 1760"/>
    <w:qFormat/>
    <w:rPr>
      <w:rFonts w:cs="OpenSymbol"/>
    </w:rPr>
  </w:style>
  <w:style w:type="character" w:styleId="ListLabel1761">
    <w:name w:val="ListLabel 1761"/>
    <w:qFormat/>
    <w:rPr>
      <w:rFonts w:cs="OpenSymbol"/>
    </w:rPr>
  </w:style>
  <w:style w:type="character" w:styleId="ListLabel1762">
    <w:name w:val="ListLabel 1762"/>
    <w:qFormat/>
    <w:rPr>
      <w:rFonts w:cs="OpenSymbol"/>
    </w:rPr>
  </w:style>
  <w:style w:type="character" w:styleId="ListLabel1763">
    <w:name w:val="ListLabel 1763"/>
    <w:qFormat/>
    <w:rPr>
      <w:rFonts w:cs="OpenSymbol"/>
    </w:rPr>
  </w:style>
  <w:style w:type="character" w:styleId="ListLabel1764">
    <w:name w:val="ListLabel 1764"/>
    <w:qFormat/>
    <w:rPr>
      <w:rFonts w:cs="OpenSymbol"/>
    </w:rPr>
  </w:style>
  <w:style w:type="character" w:styleId="ListLabel1765">
    <w:name w:val="ListLabel 1765"/>
    <w:qFormat/>
    <w:rPr>
      <w:rFonts w:cs="OpenSymbol"/>
    </w:rPr>
  </w:style>
  <w:style w:type="character" w:styleId="ListLabel1766">
    <w:name w:val="ListLabel 1766"/>
    <w:qFormat/>
    <w:rPr>
      <w:rFonts w:cs="OpenSymbol"/>
    </w:rPr>
  </w:style>
  <w:style w:type="character" w:styleId="ListLabel1767">
    <w:name w:val="ListLabel 1767"/>
    <w:qFormat/>
    <w:rPr>
      <w:rFonts w:cs="OpenSymbol"/>
    </w:rPr>
  </w:style>
  <w:style w:type="character" w:styleId="ListLabel1768">
    <w:name w:val="ListLabel 1768"/>
    <w:qFormat/>
    <w:rPr>
      <w:rFonts w:cs="OpenSymbol"/>
    </w:rPr>
  </w:style>
  <w:style w:type="character" w:styleId="ListLabel1769">
    <w:name w:val="ListLabel 1769"/>
    <w:qFormat/>
    <w:rPr>
      <w:rFonts w:cs="OpenSymbol"/>
    </w:rPr>
  </w:style>
  <w:style w:type="character" w:styleId="ListLabel1770">
    <w:name w:val="ListLabel 1770"/>
    <w:qFormat/>
    <w:rPr>
      <w:rFonts w:cs="OpenSymbol"/>
    </w:rPr>
  </w:style>
  <w:style w:type="character" w:styleId="ListLabel1771">
    <w:name w:val="ListLabel 1771"/>
    <w:qFormat/>
    <w:rPr>
      <w:rFonts w:cs="OpenSymbol"/>
    </w:rPr>
  </w:style>
  <w:style w:type="character" w:styleId="ListLabel1772">
    <w:name w:val="ListLabel 1772"/>
    <w:qFormat/>
    <w:rPr>
      <w:rFonts w:cs="OpenSymbol"/>
    </w:rPr>
  </w:style>
  <w:style w:type="character" w:styleId="ListLabel1773">
    <w:name w:val="ListLabel 1773"/>
    <w:qFormat/>
    <w:rPr>
      <w:rFonts w:cs="OpenSymbol"/>
    </w:rPr>
  </w:style>
  <w:style w:type="character" w:styleId="ListLabel1774">
    <w:name w:val="ListLabel 1774"/>
    <w:qFormat/>
    <w:rPr>
      <w:rFonts w:cs="OpenSymbol"/>
    </w:rPr>
  </w:style>
  <w:style w:type="character" w:styleId="ListLabel1775">
    <w:name w:val="ListLabel 1775"/>
    <w:qFormat/>
    <w:rPr>
      <w:rFonts w:cs="OpenSymbol"/>
    </w:rPr>
  </w:style>
  <w:style w:type="character" w:styleId="ListLabel1776">
    <w:name w:val="ListLabel 1776"/>
    <w:qFormat/>
    <w:rPr>
      <w:rFonts w:cs="OpenSymbol"/>
    </w:rPr>
  </w:style>
  <w:style w:type="character" w:styleId="ListLabel1777">
    <w:name w:val="ListLabel 1777"/>
    <w:qFormat/>
    <w:rPr>
      <w:rFonts w:cs="OpenSymbol"/>
    </w:rPr>
  </w:style>
  <w:style w:type="character" w:styleId="ListLabel1778">
    <w:name w:val="ListLabel 1778"/>
    <w:qFormat/>
    <w:rPr>
      <w:rFonts w:cs="OpenSymbol"/>
    </w:rPr>
  </w:style>
  <w:style w:type="character" w:styleId="ListLabel1779">
    <w:name w:val="ListLabel 1779"/>
    <w:qFormat/>
    <w:rPr>
      <w:rFonts w:cs="OpenSymbol"/>
    </w:rPr>
  </w:style>
  <w:style w:type="character" w:styleId="ListLabel1780">
    <w:name w:val="ListLabel 1780"/>
    <w:qFormat/>
    <w:rPr>
      <w:rFonts w:cs="OpenSymbol"/>
    </w:rPr>
  </w:style>
  <w:style w:type="character" w:styleId="ListLabel1781">
    <w:name w:val="ListLabel 1781"/>
    <w:qFormat/>
    <w:rPr>
      <w:rFonts w:cs="OpenSymbol"/>
    </w:rPr>
  </w:style>
  <w:style w:type="character" w:styleId="ListLabel1782">
    <w:name w:val="ListLabel 1782"/>
    <w:qFormat/>
    <w:rPr>
      <w:rFonts w:cs="OpenSymbol"/>
    </w:rPr>
  </w:style>
  <w:style w:type="character" w:styleId="ListLabel1783">
    <w:name w:val="ListLabel 1783"/>
    <w:qFormat/>
    <w:rPr>
      <w:rFonts w:cs="OpenSymbol"/>
    </w:rPr>
  </w:style>
  <w:style w:type="character" w:styleId="ListLabel1784">
    <w:name w:val="ListLabel 1784"/>
    <w:qFormat/>
    <w:rPr>
      <w:rFonts w:cs="OpenSymbol"/>
    </w:rPr>
  </w:style>
  <w:style w:type="character" w:styleId="ListLabel1785">
    <w:name w:val="ListLabel 1785"/>
    <w:qFormat/>
    <w:rPr>
      <w:rFonts w:cs="OpenSymbol"/>
    </w:rPr>
  </w:style>
  <w:style w:type="character" w:styleId="ListLabel1786">
    <w:name w:val="ListLabel 1786"/>
    <w:qFormat/>
    <w:rPr>
      <w:rFonts w:cs="OpenSymbol"/>
    </w:rPr>
  </w:style>
  <w:style w:type="character" w:styleId="ListLabel1787">
    <w:name w:val="ListLabel 1787"/>
    <w:qFormat/>
    <w:rPr>
      <w:rFonts w:cs="OpenSymbol"/>
    </w:rPr>
  </w:style>
  <w:style w:type="character" w:styleId="ListLabel1788">
    <w:name w:val="ListLabel 1788"/>
    <w:qFormat/>
    <w:rPr>
      <w:rFonts w:cs="OpenSymbol"/>
    </w:rPr>
  </w:style>
  <w:style w:type="character" w:styleId="ListLabel1789">
    <w:name w:val="ListLabel 1789"/>
    <w:qFormat/>
    <w:rPr>
      <w:rFonts w:cs="OpenSymbol"/>
    </w:rPr>
  </w:style>
  <w:style w:type="character" w:styleId="ListLabel1790">
    <w:name w:val="ListLabel 1790"/>
    <w:qFormat/>
    <w:rPr>
      <w:rFonts w:cs="OpenSymbol"/>
    </w:rPr>
  </w:style>
  <w:style w:type="character" w:styleId="ListLabel1791">
    <w:name w:val="ListLabel 1791"/>
    <w:qFormat/>
    <w:rPr>
      <w:rFonts w:cs="OpenSymbol"/>
    </w:rPr>
  </w:style>
  <w:style w:type="character" w:styleId="ListLabel1792">
    <w:name w:val="ListLabel 1792"/>
    <w:qFormat/>
    <w:rPr>
      <w:rFonts w:cs="OpenSymbol"/>
    </w:rPr>
  </w:style>
  <w:style w:type="character" w:styleId="ListLabel1793">
    <w:name w:val="ListLabel 1793"/>
    <w:qFormat/>
    <w:rPr>
      <w:rFonts w:cs="OpenSymbol"/>
    </w:rPr>
  </w:style>
  <w:style w:type="character" w:styleId="ListLabel1794">
    <w:name w:val="ListLabel 1794"/>
    <w:qFormat/>
    <w:rPr>
      <w:rFonts w:cs="OpenSymbol"/>
    </w:rPr>
  </w:style>
  <w:style w:type="character" w:styleId="ListLabel1795">
    <w:name w:val="ListLabel 1795"/>
    <w:qFormat/>
    <w:rPr>
      <w:rFonts w:cs="OpenSymbol"/>
    </w:rPr>
  </w:style>
  <w:style w:type="character" w:styleId="ListLabel1796">
    <w:name w:val="ListLabel 1796"/>
    <w:qFormat/>
    <w:rPr>
      <w:rFonts w:cs="OpenSymbol"/>
    </w:rPr>
  </w:style>
  <w:style w:type="character" w:styleId="ListLabel1797">
    <w:name w:val="ListLabel 1797"/>
    <w:qFormat/>
    <w:rPr>
      <w:rFonts w:cs="OpenSymbol"/>
    </w:rPr>
  </w:style>
  <w:style w:type="character" w:styleId="ListLabel1798">
    <w:name w:val="ListLabel 1798"/>
    <w:qFormat/>
    <w:rPr>
      <w:rFonts w:cs="OpenSymbol"/>
    </w:rPr>
  </w:style>
  <w:style w:type="character" w:styleId="ListLabel1799">
    <w:name w:val="ListLabel 1799"/>
    <w:qFormat/>
    <w:rPr>
      <w:rFonts w:cs="OpenSymbol"/>
    </w:rPr>
  </w:style>
  <w:style w:type="character" w:styleId="ListLabel1800">
    <w:name w:val="ListLabel 1800"/>
    <w:qFormat/>
    <w:rPr>
      <w:rFonts w:cs="Times New Roman"/>
    </w:rPr>
  </w:style>
  <w:style w:type="character" w:styleId="ListLabel1801">
    <w:name w:val="ListLabel 1801"/>
    <w:qFormat/>
    <w:rPr>
      <w:rFonts w:cs="Times New Roman"/>
    </w:rPr>
  </w:style>
  <w:style w:type="character" w:styleId="ListLabel1802">
    <w:name w:val="ListLabel 1802"/>
    <w:qFormat/>
    <w:rPr>
      <w:rFonts w:cs="Times New Roman"/>
    </w:rPr>
  </w:style>
  <w:style w:type="character" w:styleId="ListLabel1803">
    <w:name w:val="ListLabel 1803"/>
    <w:qFormat/>
    <w:rPr>
      <w:rFonts w:cs="Times New Roman"/>
    </w:rPr>
  </w:style>
  <w:style w:type="character" w:styleId="ListLabel1804">
    <w:name w:val="ListLabel 1804"/>
    <w:qFormat/>
    <w:rPr>
      <w:rFonts w:cs="Times New Roman"/>
    </w:rPr>
  </w:style>
  <w:style w:type="character" w:styleId="ListLabel1805">
    <w:name w:val="ListLabel 1805"/>
    <w:qFormat/>
    <w:rPr>
      <w:rFonts w:cs="Times New Roman"/>
    </w:rPr>
  </w:style>
  <w:style w:type="character" w:styleId="ListLabel1806">
    <w:name w:val="ListLabel 1806"/>
    <w:qFormat/>
    <w:rPr>
      <w:rFonts w:cs="Times New Roman"/>
    </w:rPr>
  </w:style>
  <w:style w:type="character" w:styleId="ListLabel1807">
    <w:name w:val="ListLabel 1807"/>
    <w:qFormat/>
    <w:rPr>
      <w:rFonts w:cs="Times New Roman"/>
    </w:rPr>
  </w:style>
  <w:style w:type="character" w:styleId="ListLabel1808">
    <w:name w:val="ListLabel 1808"/>
    <w:qFormat/>
    <w:rPr>
      <w:rFonts w:cs="Times New Roman"/>
    </w:rPr>
  </w:style>
  <w:style w:type="character" w:styleId="ListLabel1809">
    <w:name w:val="ListLabel 1809"/>
    <w:qFormat/>
    <w:rPr>
      <w:rFonts w:cs="Times New Roman"/>
    </w:rPr>
  </w:style>
  <w:style w:type="character" w:styleId="ListLabel1810">
    <w:name w:val="ListLabel 1810"/>
    <w:qFormat/>
    <w:rPr>
      <w:rFonts w:cs="Times New Roman"/>
    </w:rPr>
  </w:style>
  <w:style w:type="character" w:styleId="ListLabel1811">
    <w:name w:val="ListLabel 1811"/>
    <w:qFormat/>
    <w:rPr>
      <w:rFonts w:cs="Times New Roman"/>
    </w:rPr>
  </w:style>
  <w:style w:type="character" w:styleId="ListLabel1812">
    <w:name w:val="ListLabel 1812"/>
    <w:qFormat/>
    <w:rPr>
      <w:rFonts w:cs="OpenSymbol"/>
    </w:rPr>
  </w:style>
  <w:style w:type="character" w:styleId="ListLabel1813">
    <w:name w:val="ListLabel 1813"/>
    <w:qFormat/>
    <w:rPr>
      <w:rFonts w:cs="OpenSymbol"/>
    </w:rPr>
  </w:style>
  <w:style w:type="character" w:styleId="ListLabel1814">
    <w:name w:val="ListLabel 1814"/>
    <w:qFormat/>
    <w:rPr>
      <w:rFonts w:cs="OpenSymbol"/>
    </w:rPr>
  </w:style>
  <w:style w:type="character" w:styleId="ListLabel1815">
    <w:name w:val="ListLabel 1815"/>
    <w:qFormat/>
    <w:rPr>
      <w:rFonts w:cs="OpenSymbol"/>
    </w:rPr>
  </w:style>
  <w:style w:type="character" w:styleId="ListLabel1816">
    <w:name w:val="ListLabel 1816"/>
    <w:qFormat/>
    <w:rPr>
      <w:rFonts w:cs="OpenSymbol"/>
    </w:rPr>
  </w:style>
  <w:style w:type="character" w:styleId="ListLabel1817">
    <w:name w:val="ListLabel 1817"/>
    <w:qFormat/>
    <w:rPr>
      <w:rFonts w:cs="OpenSymbol"/>
    </w:rPr>
  </w:style>
  <w:style w:type="character" w:styleId="ListLabel1818">
    <w:name w:val="ListLabel 1818"/>
    <w:qFormat/>
    <w:rPr>
      <w:rFonts w:cs="OpenSymbol"/>
    </w:rPr>
  </w:style>
  <w:style w:type="character" w:styleId="ListLabel1819">
    <w:name w:val="ListLabel 1819"/>
    <w:qFormat/>
    <w:rPr>
      <w:rFonts w:cs="OpenSymbol"/>
    </w:rPr>
  </w:style>
  <w:style w:type="character" w:styleId="ListLabel1820">
    <w:name w:val="ListLabel 1820"/>
    <w:qFormat/>
    <w:rPr>
      <w:rFonts w:cs="OpenSymbol"/>
    </w:rPr>
  </w:style>
  <w:style w:type="character" w:styleId="ListLabel1821">
    <w:name w:val="ListLabel 1821"/>
    <w:qFormat/>
    <w:rPr>
      <w:rFonts w:cs="OpenSymbol"/>
    </w:rPr>
  </w:style>
  <w:style w:type="character" w:styleId="ListLabel1822">
    <w:name w:val="ListLabel 1822"/>
    <w:qFormat/>
    <w:rPr>
      <w:rFonts w:cs="OpenSymbol"/>
    </w:rPr>
  </w:style>
  <w:style w:type="character" w:styleId="ListLabel1823">
    <w:name w:val="ListLabel 1823"/>
    <w:qFormat/>
    <w:rPr>
      <w:rFonts w:cs="OpenSymbol"/>
    </w:rPr>
  </w:style>
  <w:style w:type="character" w:styleId="ListLabel1824">
    <w:name w:val="ListLabel 1824"/>
    <w:qFormat/>
    <w:rPr>
      <w:rFonts w:cs="OpenSymbol"/>
    </w:rPr>
  </w:style>
  <w:style w:type="character" w:styleId="ListLabel1825">
    <w:name w:val="ListLabel 1825"/>
    <w:qFormat/>
    <w:rPr>
      <w:rFonts w:cs="OpenSymbol"/>
    </w:rPr>
  </w:style>
  <w:style w:type="character" w:styleId="ListLabel1826">
    <w:name w:val="ListLabel 1826"/>
    <w:qFormat/>
    <w:rPr>
      <w:rFonts w:cs="OpenSymbol"/>
    </w:rPr>
  </w:style>
  <w:style w:type="character" w:styleId="ListLabel1827">
    <w:name w:val="ListLabel 1827"/>
    <w:qFormat/>
    <w:rPr>
      <w:rFonts w:cs="OpenSymbol"/>
    </w:rPr>
  </w:style>
  <w:style w:type="character" w:styleId="ListLabel1828">
    <w:name w:val="ListLabel 1828"/>
    <w:qFormat/>
    <w:rPr>
      <w:rFonts w:cs="OpenSymbol"/>
    </w:rPr>
  </w:style>
  <w:style w:type="character" w:styleId="ListLabel1829">
    <w:name w:val="ListLabel 1829"/>
    <w:qFormat/>
    <w:rPr>
      <w:rFonts w:cs="OpenSymbol"/>
    </w:rPr>
  </w:style>
  <w:style w:type="character" w:styleId="ListLabel1830">
    <w:name w:val="ListLabel 1830"/>
    <w:qFormat/>
    <w:rPr>
      <w:rFonts w:cs="OpenSymbol"/>
    </w:rPr>
  </w:style>
  <w:style w:type="character" w:styleId="ListLabel1831">
    <w:name w:val="ListLabel 1831"/>
    <w:qFormat/>
    <w:rPr>
      <w:rFonts w:cs="OpenSymbol"/>
    </w:rPr>
  </w:style>
  <w:style w:type="character" w:styleId="ListLabel1832">
    <w:name w:val="ListLabel 1832"/>
    <w:qFormat/>
    <w:rPr>
      <w:rFonts w:cs="OpenSymbol"/>
    </w:rPr>
  </w:style>
  <w:style w:type="character" w:styleId="ListLabel1833">
    <w:name w:val="ListLabel 1833"/>
    <w:qFormat/>
    <w:rPr>
      <w:rFonts w:cs="OpenSymbol"/>
    </w:rPr>
  </w:style>
  <w:style w:type="character" w:styleId="ListLabel1834">
    <w:name w:val="ListLabel 1834"/>
    <w:qFormat/>
    <w:rPr>
      <w:rFonts w:cs="OpenSymbol"/>
    </w:rPr>
  </w:style>
  <w:style w:type="character" w:styleId="ListLabel1835">
    <w:name w:val="ListLabel 1835"/>
    <w:qFormat/>
    <w:rPr>
      <w:rFonts w:cs="OpenSymbol"/>
    </w:rPr>
  </w:style>
  <w:style w:type="character" w:styleId="ListLabel1836">
    <w:name w:val="ListLabel 1836"/>
    <w:qFormat/>
    <w:rPr>
      <w:rFonts w:cs="OpenSymbol"/>
    </w:rPr>
  </w:style>
  <w:style w:type="character" w:styleId="ListLabel1837">
    <w:name w:val="ListLabel 1837"/>
    <w:qFormat/>
    <w:rPr>
      <w:rFonts w:cs="OpenSymbol"/>
    </w:rPr>
  </w:style>
  <w:style w:type="character" w:styleId="ListLabel1838">
    <w:name w:val="ListLabel 1838"/>
    <w:qFormat/>
    <w:rPr>
      <w:rFonts w:cs="OpenSymbol"/>
    </w:rPr>
  </w:style>
  <w:style w:type="character" w:styleId="ListLabel1839">
    <w:name w:val="ListLabel 1839"/>
    <w:qFormat/>
    <w:rPr>
      <w:rFonts w:cs="OpenSymbol"/>
    </w:rPr>
  </w:style>
  <w:style w:type="character" w:styleId="ListLabel1840">
    <w:name w:val="ListLabel 1840"/>
    <w:qFormat/>
    <w:rPr>
      <w:rFonts w:cs="OpenSymbol"/>
    </w:rPr>
  </w:style>
  <w:style w:type="character" w:styleId="ListLabel1841">
    <w:name w:val="ListLabel 1841"/>
    <w:qFormat/>
    <w:rPr>
      <w:rFonts w:cs="OpenSymbol"/>
    </w:rPr>
  </w:style>
  <w:style w:type="character" w:styleId="ListLabel1842">
    <w:name w:val="ListLabel 1842"/>
    <w:qFormat/>
    <w:rPr>
      <w:rFonts w:cs="OpenSymbol"/>
    </w:rPr>
  </w:style>
  <w:style w:type="character" w:styleId="ListLabel1843">
    <w:name w:val="ListLabel 1843"/>
    <w:qFormat/>
    <w:rPr>
      <w:rFonts w:cs="OpenSymbol"/>
    </w:rPr>
  </w:style>
  <w:style w:type="character" w:styleId="ListLabel1844">
    <w:name w:val="ListLabel 1844"/>
    <w:qFormat/>
    <w:rPr>
      <w:rFonts w:cs="OpenSymbol"/>
    </w:rPr>
  </w:style>
  <w:style w:type="character" w:styleId="ListLabel1845">
    <w:name w:val="ListLabel 1845"/>
    <w:qFormat/>
    <w:rPr>
      <w:rFonts w:cs="OpenSymbol"/>
    </w:rPr>
  </w:style>
  <w:style w:type="character" w:styleId="ListLabel1846">
    <w:name w:val="ListLabel 1846"/>
    <w:qFormat/>
    <w:rPr>
      <w:rFonts w:cs="OpenSymbol"/>
    </w:rPr>
  </w:style>
  <w:style w:type="character" w:styleId="ListLabel1847">
    <w:name w:val="ListLabel 1847"/>
    <w:qFormat/>
    <w:rPr>
      <w:rFonts w:cs="OpenSymbol"/>
    </w:rPr>
  </w:style>
  <w:style w:type="character" w:styleId="ListLabel1848">
    <w:name w:val="ListLabel 1848"/>
    <w:qFormat/>
    <w:rPr>
      <w:rFonts w:cs="OpenSymbol"/>
    </w:rPr>
  </w:style>
  <w:style w:type="character" w:styleId="ListLabel1849">
    <w:name w:val="ListLabel 1849"/>
    <w:qFormat/>
    <w:rPr>
      <w:rFonts w:cs="OpenSymbol"/>
    </w:rPr>
  </w:style>
  <w:style w:type="character" w:styleId="ListLabel1850">
    <w:name w:val="ListLabel 1850"/>
    <w:qFormat/>
    <w:rPr>
      <w:rFonts w:cs="OpenSymbol"/>
    </w:rPr>
  </w:style>
  <w:style w:type="character" w:styleId="ListLabel1851">
    <w:name w:val="ListLabel 1851"/>
    <w:qFormat/>
    <w:rPr>
      <w:rFonts w:cs="OpenSymbol"/>
    </w:rPr>
  </w:style>
  <w:style w:type="character" w:styleId="ListLabel1852">
    <w:name w:val="ListLabel 1852"/>
    <w:qFormat/>
    <w:rPr>
      <w:rFonts w:cs="OpenSymbol"/>
    </w:rPr>
  </w:style>
  <w:style w:type="character" w:styleId="ListLabel1853">
    <w:name w:val="ListLabel 1853"/>
    <w:qFormat/>
    <w:rPr>
      <w:rFonts w:cs="OpenSymbol"/>
    </w:rPr>
  </w:style>
  <w:style w:type="character" w:styleId="ListLabel1854">
    <w:name w:val="ListLabel 1854"/>
    <w:qFormat/>
    <w:rPr>
      <w:rFonts w:cs="OpenSymbol"/>
    </w:rPr>
  </w:style>
  <w:style w:type="character" w:styleId="ListLabel1855">
    <w:name w:val="ListLabel 1855"/>
    <w:qFormat/>
    <w:rPr>
      <w:rFonts w:cs="OpenSymbol"/>
    </w:rPr>
  </w:style>
  <w:style w:type="character" w:styleId="ListLabel1856">
    <w:name w:val="ListLabel 1856"/>
    <w:qFormat/>
    <w:rPr>
      <w:rFonts w:cs="OpenSymbol"/>
    </w:rPr>
  </w:style>
  <w:style w:type="character" w:styleId="ListLabel1857">
    <w:name w:val="ListLabel 1857"/>
    <w:qFormat/>
    <w:rPr>
      <w:rFonts w:cs="OpenSymbol"/>
    </w:rPr>
  </w:style>
  <w:style w:type="character" w:styleId="ListLabel1858">
    <w:name w:val="ListLabel 1858"/>
    <w:qFormat/>
    <w:rPr>
      <w:rFonts w:cs="OpenSymbol"/>
    </w:rPr>
  </w:style>
  <w:style w:type="character" w:styleId="ListLabel1859">
    <w:name w:val="ListLabel 1859"/>
    <w:qFormat/>
    <w:rPr>
      <w:rFonts w:cs="OpenSymbol"/>
    </w:rPr>
  </w:style>
  <w:style w:type="character" w:styleId="ListLabel1860">
    <w:name w:val="ListLabel 1860"/>
    <w:qFormat/>
    <w:rPr>
      <w:rFonts w:cs="OpenSymbol"/>
    </w:rPr>
  </w:style>
  <w:style w:type="character" w:styleId="ListLabel1861">
    <w:name w:val="ListLabel 1861"/>
    <w:qFormat/>
    <w:rPr>
      <w:rFonts w:cs="OpenSymbol"/>
    </w:rPr>
  </w:style>
  <w:style w:type="character" w:styleId="ListLabel1862">
    <w:name w:val="ListLabel 1862"/>
    <w:qFormat/>
    <w:rPr>
      <w:rFonts w:cs="OpenSymbol"/>
    </w:rPr>
  </w:style>
  <w:style w:type="character" w:styleId="ListLabel1863">
    <w:name w:val="ListLabel 1863"/>
    <w:qFormat/>
    <w:rPr>
      <w:rFonts w:cs="OpenSymbol"/>
    </w:rPr>
  </w:style>
  <w:style w:type="character" w:styleId="ListLabel1864">
    <w:name w:val="ListLabel 1864"/>
    <w:qFormat/>
    <w:rPr>
      <w:rFonts w:cs="OpenSymbol"/>
    </w:rPr>
  </w:style>
  <w:style w:type="character" w:styleId="ListLabel1865">
    <w:name w:val="ListLabel 1865"/>
    <w:qFormat/>
    <w:rPr>
      <w:rFonts w:cs="OpenSymbol"/>
    </w:rPr>
  </w:style>
  <w:style w:type="character" w:styleId="ListLabel1866">
    <w:name w:val="ListLabel 1866"/>
    <w:qFormat/>
    <w:rPr>
      <w:rFonts w:cs="Times New Roman"/>
    </w:rPr>
  </w:style>
  <w:style w:type="character" w:styleId="ListLabel1867">
    <w:name w:val="ListLabel 1867"/>
    <w:qFormat/>
    <w:rPr>
      <w:rFonts w:cs="Times New Roman"/>
    </w:rPr>
  </w:style>
  <w:style w:type="character" w:styleId="ListLabel1868">
    <w:name w:val="ListLabel 1868"/>
    <w:qFormat/>
    <w:rPr>
      <w:rFonts w:cs="Times New Roman"/>
    </w:rPr>
  </w:style>
  <w:style w:type="character" w:styleId="ListLabel1869">
    <w:name w:val="ListLabel 1869"/>
    <w:qFormat/>
    <w:rPr>
      <w:rFonts w:cs="Times New Roman"/>
    </w:rPr>
  </w:style>
  <w:style w:type="character" w:styleId="ListLabel1870">
    <w:name w:val="ListLabel 1870"/>
    <w:qFormat/>
    <w:rPr>
      <w:rFonts w:cs="Times New Roman"/>
    </w:rPr>
  </w:style>
  <w:style w:type="character" w:styleId="ListLabel1871">
    <w:name w:val="ListLabel 1871"/>
    <w:qFormat/>
    <w:rPr>
      <w:rFonts w:cs="Times New Roman"/>
    </w:rPr>
  </w:style>
  <w:style w:type="character" w:styleId="ListLabel1872">
    <w:name w:val="ListLabel 1872"/>
    <w:qFormat/>
    <w:rPr>
      <w:rFonts w:cs="Times New Roman"/>
    </w:rPr>
  </w:style>
  <w:style w:type="character" w:styleId="ListLabel1873">
    <w:name w:val="ListLabel 1873"/>
    <w:qFormat/>
    <w:rPr>
      <w:rFonts w:cs="Times New Roman"/>
    </w:rPr>
  </w:style>
  <w:style w:type="character" w:styleId="ListLabel1874">
    <w:name w:val="ListLabel 1874"/>
    <w:qFormat/>
    <w:rPr>
      <w:rFonts w:cs="Times New Roman"/>
    </w:rPr>
  </w:style>
  <w:style w:type="character" w:styleId="ListLabel1875">
    <w:name w:val="ListLabel 1875"/>
    <w:qFormat/>
    <w:rPr>
      <w:rFonts w:cs="Times New Roman"/>
    </w:rPr>
  </w:style>
  <w:style w:type="character" w:styleId="ListLabel1876">
    <w:name w:val="ListLabel 1876"/>
    <w:qFormat/>
    <w:rPr>
      <w:rFonts w:cs="Times New Roman"/>
    </w:rPr>
  </w:style>
  <w:style w:type="character" w:styleId="ListLabel1877">
    <w:name w:val="ListLabel 1877"/>
    <w:qFormat/>
    <w:rPr>
      <w:rFonts w:cs="Times New Roman"/>
    </w:rPr>
  </w:style>
  <w:style w:type="character" w:styleId="ListLabel1878">
    <w:name w:val="ListLabel 1878"/>
    <w:qFormat/>
    <w:rPr>
      <w:rFonts w:cs="OpenSymbol"/>
    </w:rPr>
  </w:style>
  <w:style w:type="character" w:styleId="ListLabel1879">
    <w:name w:val="ListLabel 1879"/>
    <w:qFormat/>
    <w:rPr>
      <w:rFonts w:cs="OpenSymbol"/>
    </w:rPr>
  </w:style>
  <w:style w:type="character" w:styleId="ListLabel1880">
    <w:name w:val="ListLabel 1880"/>
    <w:qFormat/>
    <w:rPr>
      <w:rFonts w:cs="OpenSymbol"/>
    </w:rPr>
  </w:style>
  <w:style w:type="character" w:styleId="ListLabel1881">
    <w:name w:val="ListLabel 1881"/>
    <w:qFormat/>
    <w:rPr>
      <w:rFonts w:cs="OpenSymbol"/>
    </w:rPr>
  </w:style>
  <w:style w:type="character" w:styleId="ListLabel1882">
    <w:name w:val="ListLabel 1882"/>
    <w:qFormat/>
    <w:rPr>
      <w:rFonts w:cs="OpenSymbol"/>
    </w:rPr>
  </w:style>
  <w:style w:type="character" w:styleId="ListLabel1883">
    <w:name w:val="ListLabel 1883"/>
    <w:qFormat/>
    <w:rPr>
      <w:rFonts w:cs="OpenSymbol"/>
    </w:rPr>
  </w:style>
  <w:style w:type="character" w:styleId="ListLabel1884">
    <w:name w:val="ListLabel 1884"/>
    <w:qFormat/>
    <w:rPr>
      <w:rFonts w:cs="OpenSymbol"/>
    </w:rPr>
  </w:style>
  <w:style w:type="character" w:styleId="ListLabel1885">
    <w:name w:val="ListLabel 1885"/>
    <w:qFormat/>
    <w:rPr>
      <w:rFonts w:cs="OpenSymbol"/>
    </w:rPr>
  </w:style>
  <w:style w:type="character" w:styleId="ListLabel1886">
    <w:name w:val="ListLabel 1886"/>
    <w:qFormat/>
    <w:rPr>
      <w:rFonts w:cs="OpenSymbol"/>
    </w:rPr>
  </w:style>
  <w:style w:type="character" w:styleId="ListLabel1887">
    <w:name w:val="ListLabel 1887"/>
    <w:qFormat/>
    <w:rPr>
      <w:rFonts w:cs="OpenSymbol"/>
    </w:rPr>
  </w:style>
  <w:style w:type="character" w:styleId="ListLabel1888">
    <w:name w:val="ListLabel 1888"/>
    <w:qFormat/>
    <w:rPr>
      <w:rFonts w:cs="OpenSymbol"/>
    </w:rPr>
  </w:style>
  <w:style w:type="character" w:styleId="ListLabel1889">
    <w:name w:val="ListLabel 1889"/>
    <w:qFormat/>
    <w:rPr>
      <w:rFonts w:cs="OpenSymbol"/>
    </w:rPr>
  </w:style>
  <w:style w:type="character" w:styleId="ListLabel1890">
    <w:name w:val="ListLabel 1890"/>
    <w:qFormat/>
    <w:rPr>
      <w:rFonts w:cs="OpenSymbol"/>
    </w:rPr>
  </w:style>
  <w:style w:type="character" w:styleId="ListLabel1891">
    <w:name w:val="ListLabel 1891"/>
    <w:qFormat/>
    <w:rPr>
      <w:rFonts w:cs="OpenSymbol"/>
    </w:rPr>
  </w:style>
  <w:style w:type="character" w:styleId="ListLabel1892">
    <w:name w:val="ListLabel 1892"/>
    <w:qFormat/>
    <w:rPr>
      <w:rFonts w:cs="OpenSymbol"/>
    </w:rPr>
  </w:style>
  <w:style w:type="character" w:styleId="ListLabel1893">
    <w:name w:val="ListLabel 1893"/>
    <w:qFormat/>
    <w:rPr>
      <w:rFonts w:cs="OpenSymbol"/>
    </w:rPr>
  </w:style>
  <w:style w:type="character" w:styleId="ListLabel1894">
    <w:name w:val="ListLabel 1894"/>
    <w:qFormat/>
    <w:rPr>
      <w:rFonts w:cs="OpenSymbol"/>
    </w:rPr>
  </w:style>
  <w:style w:type="character" w:styleId="ListLabel1895">
    <w:name w:val="ListLabel 1895"/>
    <w:qFormat/>
    <w:rPr>
      <w:rFonts w:cs="OpenSymbol"/>
    </w:rPr>
  </w:style>
  <w:style w:type="character" w:styleId="ListLabel1896">
    <w:name w:val="ListLabel 1896"/>
    <w:qFormat/>
    <w:rPr>
      <w:rFonts w:cs="OpenSymbol"/>
    </w:rPr>
  </w:style>
  <w:style w:type="character" w:styleId="ListLabel1897">
    <w:name w:val="ListLabel 1897"/>
    <w:qFormat/>
    <w:rPr>
      <w:rFonts w:cs="OpenSymbol"/>
    </w:rPr>
  </w:style>
  <w:style w:type="character" w:styleId="ListLabel1898">
    <w:name w:val="ListLabel 1898"/>
    <w:qFormat/>
    <w:rPr>
      <w:rFonts w:cs="OpenSymbol"/>
    </w:rPr>
  </w:style>
  <w:style w:type="character" w:styleId="ListLabel1899">
    <w:name w:val="ListLabel 1899"/>
    <w:qFormat/>
    <w:rPr>
      <w:rFonts w:cs="OpenSymbol"/>
    </w:rPr>
  </w:style>
  <w:style w:type="character" w:styleId="ListLabel1900">
    <w:name w:val="ListLabel 1900"/>
    <w:qFormat/>
    <w:rPr>
      <w:rFonts w:cs="OpenSymbol"/>
    </w:rPr>
  </w:style>
  <w:style w:type="character" w:styleId="ListLabel1901">
    <w:name w:val="ListLabel 1901"/>
    <w:qFormat/>
    <w:rPr>
      <w:rFonts w:cs="OpenSymbol"/>
    </w:rPr>
  </w:style>
  <w:style w:type="character" w:styleId="ListLabel1902">
    <w:name w:val="ListLabel 1902"/>
    <w:qFormat/>
    <w:rPr>
      <w:rFonts w:cs="OpenSymbol"/>
    </w:rPr>
  </w:style>
  <w:style w:type="character" w:styleId="ListLabel1903">
    <w:name w:val="ListLabel 1903"/>
    <w:qFormat/>
    <w:rPr>
      <w:rFonts w:cs="OpenSymbol"/>
    </w:rPr>
  </w:style>
  <w:style w:type="character" w:styleId="ListLabel1904">
    <w:name w:val="ListLabel 1904"/>
    <w:qFormat/>
    <w:rPr>
      <w:rFonts w:cs="OpenSymbol"/>
    </w:rPr>
  </w:style>
  <w:style w:type="character" w:styleId="ListLabel1905">
    <w:name w:val="ListLabel 1905"/>
    <w:qFormat/>
    <w:rPr>
      <w:rFonts w:cs="OpenSymbol"/>
    </w:rPr>
  </w:style>
  <w:style w:type="character" w:styleId="ListLabel1906">
    <w:name w:val="ListLabel 1906"/>
    <w:qFormat/>
    <w:rPr>
      <w:rFonts w:cs="OpenSymbol"/>
    </w:rPr>
  </w:style>
  <w:style w:type="character" w:styleId="ListLabel1907">
    <w:name w:val="ListLabel 1907"/>
    <w:qFormat/>
    <w:rPr>
      <w:rFonts w:cs="OpenSymbol"/>
    </w:rPr>
  </w:style>
  <w:style w:type="character" w:styleId="ListLabel1908">
    <w:name w:val="ListLabel 1908"/>
    <w:qFormat/>
    <w:rPr>
      <w:rFonts w:cs="OpenSymbol"/>
    </w:rPr>
  </w:style>
  <w:style w:type="character" w:styleId="ListLabel1909">
    <w:name w:val="ListLabel 1909"/>
    <w:qFormat/>
    <w:rPr>
      <w:rFonts w:cs="OpenSymbol"/>
    </w:rPr>
  </w:style>
  <w:style w:type="character" w:styleId="ListLabel1910">
    <w:name w:val="ListLabel 1910"/>
    <w:qFormat/>
    <w:rPr>
      <w:rFonts w:cs="OpenSymbol"/>
    </w:rPr>
  </w:style>
  <w:style w:type="character" w:styleId="ListLabel1911">
    <w:name w:val="ListLabel 1911"/>
    <w:qFormat/>
    <w:rPr>
      <w:rFonts w:cs="OpenSymbol"/>
    </w:rPr>
  </w:style>
  <w:style w:type="character" w:styleId="ListLabel1912">
    <w:name w:val="ListLabel 1912"/>
    <w:qFormat/>
    <w:rPr>
      <w:rFonts w:cs="OpenSymbol"/>
    </w:rPr>
  </w:style>
  <w:style w:type="character" w:styleId="ListLabel1913">
    <w:name w:val="ListLabel 1913"/>
    <w:qFormat/>
    <w:rPr>
      <w:rFonts w:cs="OpenSymbol"/>
    </w:rPr>
  </w:style>
  <w:style w:type="character" w:styleId="ListLabel1914">
    <w:name w:val="ListLabel 1914"/>
    <w:qFormat/>
    <w:rPr>
      <w:rFonts w:cs="OpenSymbol"/>
    </w:rPr>
  </w:style>
  <w:style w:type="character" w:styleId="ListLabel1915">
    <w:name w:val="ListLabel 1915"/>
    <w:qFormat/>
    <w:rPr>
      <w:rFonts w:cs="OpenSymbol"/>
    </w:rPr>
  </w:style>
  <w:style w:type="character" w:styleId="ListLabel1916">
    <w:name w:val="ListLabel 1916"/>
    <w:qFormat/>
    <w:rPr>
      <w:rFonts w:cs="OpenSymbol"/>
    </w:rPr>
  </w:style>
  <w:style w:type="character" w:styleId="ListLabel1917">
    <w:name w:val="ListLabel 1917"/>
    <w:qFormat/>
    <w:rPr>
      <w:rFonts w:cs="OpenSymbol"/>
    </w:rPr>
  </w:style>
  <w:style w:type="character" w:styleId="ListLabel1918">
    <w:name w:val="ListLabel 1918"/>
    <w:qFormat/>
    <w:rPr>
      <w:rFonts w:cs="OpenSymbol"/>
    </w:rPr>
  </w:style>
  <w:style w:type="character" w:styleId="ListLabel1919">
    <w:name w:val="ListLabel 1919"/>
    <w:qFormat/>
    <w:rPr>
      <w:rFonts w:cs="OpenSymbol"/>
    </w:rPr>
  </w:style>
  <w:style w:type="character" w:styleId="ListLabel1920">
    <w:name w:val="ListLabel 1920"/>
    <w:qFormat/>
    <w:rPr>
      <w:rFonts w:cs="OpenSymbol"/>
    </w:rPr>
  </w:style>
  <w:style w:type="character" w:styleId="ListLabel1921">
    <w:name w:val="ListLabel 1921"/>
    <w:qFormat/>
    <w:rPr>
      <w:rFonts w:cs="OpenSymbol"/>
    </w:rPr>
  </w:style>
  <w:style w:type="character" w:styleId="ListLabel1922">
    <w:name w:val="ListLabel 1922"/>
    <w:qFormat/>
    <w:rPr>
      <w:rFonts w:cs="OpenSymbol"/>
    </w:rPr>
  </w:style>
  <w:style w:type="character" w:styleId="ListLabel1923">
    <w:name w:val="ListLabel 1923"/>
    <w:qFormat/>
    <w:rPr>
      <w:rFonts w:cs="OpenSymbol"/>
    </w:rPr>
  </w:style>
  <w:style w:type="character" w:styleId="ListLabel1924">
    <w:name w:val="ListLabel 1924"/>
    <w:qFormat/>
    <w:rPr>
      <w:rFonts w:cs="OpenSymbol"/>
    </w:rPr>
  </w:style>
  <w:style w:type="character" w:styleId="ListLabel1925">
    <w:name w:val="ListLabel 1925"/>
    <w:qFormat/>
    <w:rPr>
      <w:rFonts w:cs="OpenSymbol"/>
    </w:rPr>
  </w:style>
  <w:style w:type="character" w:styleId="ListLabel1926">
    <w:name w:val="ListLabel 1926"/>
    <w:qFormat/>
    <w:rPr>
      <w:rFonts w:cs="OpenSymbol"/>
    </w:rPr>
  </w:style>
  <w:style w:type="character" w:styleId="ListLabel1927">
    <w:name w:val="ListLabel 1927"/>
    <w:qFormat/>
    <w:rPr>
      <w:rFonts w:cs="OpenSymbol"/>
    </w:rPr>
  </w:style>
  <w:style w:type="character" w:styleId="ListLabel1928">
    <w:name w:val="ListLabel 1928"/>
    <w:qFormat/>
    <w:rPr>
      <w:rFonts w:cs="OpenSymbol"/>
    </w:rPr>
  </w:style>
  <w:style w:type="character" w:styleId="ListLabel1929">
    <w:name w:val="ListLabel 1929"/>
    <w:qFormat/>
    <w:rPr>
      <w:rFonts w:cs="OpenSymbol"/>
    </w:rPr>
  </w:style>
  <w:style w:type="character" w:styleId="ListLabel1930">
    <w:name w:val="ListLabel 1930"/>
    <w:qFormat/>
    <w:rPr>
      <w:rFonts w:cs="OpenSymbol"/>
    </w:rPr>
  </w:style>
  <w:style w:type="character" w:styleId="ListLabel1931">
    <w:name w:val="ListLabel 1931"/>
    <w:qFormat/>
    <w:rPr>
      <w:rFonts w:cs="OpenSymbol"/>
    </w:rPr>
  </w:style>
  <w:style w:type="character" w:styleId="ListLabel1932">
    <w:name w:val="ListLabel 1932"/>
    <w:qFormat/>
    <w:rPr>
      <w:rFonts w:cs="Times New Roman"/>
    </w:rPr>
  </w:style>
  <w:style w:type="character" w:styleId="ListLabel1933">
    <w:name w:val="ListLabel 1933"/>
    <w:qFormat/>
    <w:rPr>
      <w:rFonts w:cs="Times New Roman"/>
    </w:rPr>
  </w:style>
  <w:style w:type="character" w:styleId="ListLabel1934">
    <w:name w:val="ListLabel 1934"/>
    <w:qFormat/>
    <w:rPr>
      <w:rFonts w:cs="Times New Roman"/>
    </w:rPr>
  </w:style>
  <w:style w:type="character" w:styleId="ListLabel1935">
    <w:name w:val="ListLabel 1935"/>
    <w:qFormat/>
    <w:rPr>
      <w:rFonts w:cs="Times New Roman"/>
    </w:rPr>
  </w:style>
  <w:style w:type="character" w:styleId="ListLabel1936">
    <w:name w:val="ListLabel 1936"/>
    <w:qFormat/>
    <w:rPr>
      <w:rFonts w:cs="Times New Roman"/>
    </w:rPr>
  </w:style>
  <w:style w:type="character" w:styleId="ListLabel1937">
    <w:name w:val="ListLabel 1937"/>
    <w:qFormat/>
    <w:rPr>
      <w:rFonts w:cs="Times New Roman"/>
    </w:rPr>
  </w:style>
  <w:style w:type="character" w:styleId="ListLabel1938">
    <w:name w:val="ListLabel 1938"/>
    <w:qFormat/>
    <w:rPr>
      <w:rFonts w:cs="Times New Roman"/>
    </w:rPr>
  </w:style>
  <w:style w:type="character" w:styleId="ListLabel1939">
    <w:name w:val="ListLabel 1939"/>
    <w:qFormat/>
    <w:rPr>
      <w:rFonts w:cs="Times New Roman"/>
    </w:rPr>
  </w:style>
  <w:style w:type="character" w:styleId="ListLabel1940">
    <w:name w:val="ListLabel 1940"/>
    <w:qFormat/>
    <w:rPr>
      <w:rFonts w:cs="Times New Roman"/>
    </w:rPr>
  </w:style>
  <w:style w:type="character" w:styleId="ListLabel1941">
    <w:name w:val="ListLabel 1941"/>
    <w:qFormat/>
    <w:rPr>
      <w:rFonts w:cs="Times New Roman"/>
    </w:rPr>
  </w:style>
  <w:style w:type="character" w:styleId="ListLabel1942">
    <w:name w:val="ListLabel 1942"/>
    <w:qFormat/>
    <w:rPr>
      <w:rFonts w:cs="Times New Roman"/>
    </w:rPr>
  </w:style>
  <w:style w:type="character" w:styleId="ListLabel1943">
    <w:name w:val="ListLabel 1943"/>
    <w:qFormat/>
    <w:rPr>
      <w:rFonts w:cs="Times New Roman"/>
    </w:rPr>
  </w:style>
  <w:style w:type="character" w:styleId="ListLabel1944">
    <w:name w:val="ListLabel 1944"/>
    <w:qFormat/>
    <w:rPr>
      <w:rFonts w:cs="OpenSymbol"/>
    </w:rPr>
  </w:style>
  <w:style w:type="character" w:styleId="ListLabel1945">
    <w:name w:val="ListLabel 1945"/>
    <w:qFormat/>
    <w:rPr>
      <w:rFonts w:cs="OpenSymbol"/>
    </w:rPr>
  </w:style>
  <w:style w:type="character" w:styleId="ListLabel1946">
    <w:name w:val="ListLabel 1946"/>
    <w:qFormat/>
    <w:rPr>
      <w:rFonts w:cs="OpenSymbol"/>
    </w:rPr>
  </w:style>
  <w:style w:type="character" w:styleId="ListLabel1947">
    <w:name w:val="ListLabel 1947"/>
    <w:qFormat/>
    <w:rPr>
      <w:rFonts w:cs="OpenSymbol"/>
    </w:rPr>
  </w:style>
  <w:style w:type="character" w:styleId="ListLabel1948">
    <w:name w:val="ListLabel 1948"/>
    <w:qFormat/>
    <w:rPr>
      <w:rFonts w:cs="OpenSymbol"/>
    </w:rPr>
  </w:style>
  <w:style w:type="character" w:styleId="ListLabel1949">
    <w:name w:val="ListLabel 1949"/>
    <w:qFormat/>
    <w:rPr>
      <w:rFonts w:cs="OpenSymbol"/>
    </w:rPr>
  </w:style>
  <w:style w:type="character" w:styleId="ListLabel1950">
    <w:name w:val="ListLabel 1950"/>
    <w:qFormat/>
    <w:rPr>
      <w:rFonts w:cs="OpenSymbol"/>
    </w:rPr>
  </w:style>
  <w:style w:type="character" w:styleId="ListLabel1951">
    <w:name w:val="ListLabel 1951"/>
    <w:qFormat/>
    <w:rPr>
      <w:rFonts w:cs="OpenSymbol"/>
    </w:rPr>
  </w:style>
  <w:style w:type="character" w:styleId="ListLabel1952">
    <w:name w:val="ListLabel 1952"/>
    <w:qFormat/>
    <w:rPr>
      <w:rFonts w:cs="OpenSymbol"/>
    </w:rPr>
  </w:style>
  <w:style w:type="character" w:styleId="ListLabel1953">
    <w:name w:val="ListLabel 1953"/>
    <w:qFormat/>
    <w:rPr>
      <w:rFonts w:cs="OpenSymbol"/>
    </w:rPr>
  </w:style>
  <w:style w:type="character" w:styleId="ListLabel1954">
    <w:name w:val="ListLabel 1954"/>
    <w:qFormat/>
    <w:rPr>
      <w:rFonts w:cs="OpenSymbol"/>
    </w:rPr>
  </w:style>
  <w:style w:type="character" w:styleId="ListLabel1955">
    <w:name w:val="ListLabel 1955"/>
    <w:qFormat/>
    <w:rPr>
      <w:rFonts w:cs="OpenSymbol"/>
    </w:rPr>
  </w:style>
  <w:style w:type="character" w:styleId="ListLabel1956">
    <w:name w:val="ListLabel 1956"/>
    <w:qFormat/>
    <w:rPr>
      <w:rFonts w:cs="OpenSymbol"/>
    </w:rPr>
  </w:style>
  <w:style w:type="character" w:styleId="ListLabel1957">
    <w:name w:val="ListLabel 1957"/>
    <w:qFormat/>
    <w:rPr>
      <w:rFonts w:cs="OpenSymbol"/>
    </w:rPr>
  </w:style>
  <w:style w:type="character" w:styleId="ListLabel1958">
    <w:name w:val="ListLabel 1958"/>
    <w:qFormat/>
    <w:rPr>
      <w:rFonts w:cs="OpenSymbol"/>
    </w:rPr>
  </w:style>
  <w:style w:type="character" w:styleId="ListLabel1959">
    <w:name w:val="ListLabel 1959"/>
    <w:qFormat/>
    <w:rPr>
      <w:rFonts w:cs="OpenSymbol"/>
    </w:rPr>
  </w:style>
  <w:style w:type="character" w:styleId="ListLabel1960">
    <w:name w:val="ListLabel 1960"/>
    <w:qFormat/>
    <w:rPr>
      <w:rFonts w:cs="OpenSymbol"/>
    </w:rPr>
  </w:style>
  <w:style w:type="character" w:styleId="ListLabel1961">
    <w:name w:val="ListLabel 1961"/>
    <w:qFormat/>
    <w:rPr>
      <w:rFonts w:cs="OpenSymbol"/>
    </w:rPr>
  </w:style>
  <w:style w:type="character" w:styleId="ListLabel1962">
    <w:name w:val="ListLabel 1962"/>
    <w:qFormat/>
    <w:rPr>
      <w:rFonts w:cs="OpenSymbol"/>
    </w:rPr>
  </w:style>
  <w:style w:type="character" w:styleId="ListLabel1963">
    <w:name w:val="ListLabel 1963"/>
    <w:qFormat/>
    <w:rPr>
      <w:rFonts w:cs="OpenSymbol"/>
    </w:rPr>
  </w:style>
  <w:style w:type="character" w:styleId="ListLabel1964">
    <w:name w:val="ListLabel 1964"/>
    <w:qFormat/>
    <w:rPr>
      <w:rFonts w:cs="OpenSymbol"/>
    </w:rPr>
  </w:style>
  <w:style w:type="character" w:styleId="ListLabel1965">
    <w:name w:val="ListLabel 1965"/>
    <w:qFormat/>
    <w:rPr>
      <w:rFonts w:cs="OpenSymbol"/>
    </w:rPr>
  </w:style>
  <w:style w:type="character" w:styleId="ListLabel1966">
    <w:name w:val="ListLabel 1966"/>
    <w:qFormat/>
    <w:rPr>
      <w:rFonts w:cs="OpenSymbol"/>
    </w:rPr>
  </w:style>
  <w:style w:type="character" w:styleId="ListLabel1967">
    <w:name w:val="ListLabel 1967"/>
    <w:qFormat/>
    <w:rPr>
      <w:rFonts w:cs="OpenSymbol"/>
    </w:rPr>
  </w:style>
  <w:style w:type="character" w:styleId="ListLabel1968">
    <w:name w:val="ListLabel 1968"/>
    <w:qFormat/>
    <w:rPr>
      <w:rFonts w:cs="OpenSymbol"/>
    </w:rPr>
  </w:style>
  <w:style w:type="character" w:styleId="ListLabel1969">
    <w:name w:val="ListLabel 1969"/>
    <w:qFormat/>
    <w:rPr>
      <w:rFonts w:cs="OpenSymbol"/>
    </w:rPr>
  </w:style>
  <w:style w:type="character" w:styleId="ListLabel1970">
    <w:name w:val="ListLabel 1970"/>
    <w:qFormat/>
    <w:rPr>
      <w:rFonts w:cs="OpenSymbol"/>
    </w:rPr>
  </w:style>
  <w:style w:type="character" w:styleId="ListLabel1971">
    <w:name w:val="ListLabel 1971"/>
    <w:qFormat/>
    <w:rPr>
      <w:rFonts w:cs="OpenSymbol"/>
    </w:rPr>
  </w:style>
  <w:style w:type="character" w:styleId="ListLabel1972">
    <w:name w:val="ListLabel 1972"/>
    <w:qFormat/>
    <w:rPr>
      <w:rFonts w:cs="OpenSymbol"/>
    </w:rPr>
  </w:style>
  <w:style w:type="character" w:styleId="ListLabel1973">
    <w:name w:val="ListLabel 1973"/>
    <w:qFormat/>
    <w:rPr>
      <w:rFonts w:cs="OpenSymbol"/>
    </w:rPr>
  </w:style>
  <w:style w:type="character" w:styleId="ListLabel1974">
    <w:name w:val="ListLabel 1974"/>
    <w:qFormat/>
    <w:rPr>
      <w:rFonts w:cs="OpenSymbol"/>
    </w:rPr>
  </w:style>
  <w:style w:type="character" w:styleId="ListLabel1975">
    <w:name w:val="ListLabel 1975"/>
    <w:qFormat/>
    <w:rPr>
      <w:rFonts w:cs="OpenSymbol"/>
    </w:rPr>
  </w:style>
  <w:style w:type="character" w:styleId="ListLabel1976">
    <w:name w:val="ListLabel 1976"/>
    <w:qFormat/>
    <w:rPr>
      <w:rFonts w:cs="OpenSymbol"/>
    </w:rPr>
  </w:style>
  <w:style w:type="character" w:styleId="ListLabel1977">
    <w:name w:val="ListLabel 1977"/>
    <w:qFormat/>
    <w:rPr>
      <w:rFonts w:cs="OpenSymbol"/>
    </w:rPr>
  </w:style>
  <w:style w:type="character" w:styleId="ListLabel1978">
    <w:name w:val="ListLabel 1978"/>
    <w:qFormat/>
    <w:rPr>
      <w:rFonts w:cs="OpenSymbol"/>
    </w:rPr>
  </w:style>
  <w:style w:type="character" w:styleId="ListLabel1979">
    <w:name w:val="ListLabel 1979"/>
    <w:qFormat/>
    <w:rPr>
      <w:rFonts w:cs="OpenSymbol"/>
    </w:rPr>
  </w:style>
  <w:style w:type="character" w:styleId="ListLabel1980">
    <w:name w:val="ListLabel 1980"/>
    <w:qFormat/>
    <w:rPr>
      <w:rFonts w:cs="OpenSymbol"/>
    </w:rPr>
  </w:style>
  <w:style w:type="character" w:styleId="ListLabel1981">
    <w:name w:val="ListLabel 1981"/>
    <w:qFormat/>
    <w:rPr>
      <w:rFonts w:cs="OpenSymbol"/>
    </w:rPr>
  </w:style>
  <w:style w:type="character" w:styleId="ListLabel1982">
    <w:name w:val="ListLabel 1982"/>
    <w:qFormat/>
    <w:rPr>
      <w:rFonts w:cs="OpenSymbol"/>
    </w:rPr>
  </w:style>
  <w:style w:type="character" w:styleId="ListLabel1983">
    <w:name w:val="ListLabel 1983"/>
    <w:qFormat/>
    <w:rPr>
      <w:rFonts w:cs="OpenSymbol"/>
    </w:rPr>
  </w:style>
  <w:style w:type="character" w:styleId="ListLabel1984">
    <w:name w:val="ListLabel 1984"/>
    <w:qFormat/>
    <w:rPr>
      <w:rFonts w:cs="OpenSymbol"/>
    </w:rPr>
  </w:style>
  <w:style w:type="character" w:styleId="ListLabel1985">
    <w:name w:val="ListLabel 1985"/>
    <w:qFormat/>
    <w:rPr>
      <w:rFonts w:cs="OpenSymbol"/>
    </w:rPr>
  </w:style>
  <w:style w:type="character" w:styleId="ListLabel1986">
    <w:name w:val="ListLabel 1986"/>
    <w:qFormat/>
    <w:rPr>
      <w:rFonts w:cs="OpenSymbol"/>
    </w:rPr>
  </w:style>
  <w:style w:type="character" w:styleId="ListLabel1987">
    <w:name w:val="ListLabel 1987"/>
    <w:qFormat/>
    <w:rPr>
      <w:rFonts w:cs="OpenSymbol"/>
    </w:rPr>
  </w:style>
  <w:style w:type="character" w:styleId="ListLabel1988">
    <w:name w:val="ListLabel 1988"/>
    <w:qFormat/>
    <w:rPr>
      <w:rFonts w:cs="OpenSymbol"/>
    </w:rPr>
  </w:style>
  <w:style w:type="character" w:styleId="ListLabel1989">
    <w:name w:val="ListLabel 1989"/>
    <w:qFormat/>
    <w:rPr>
      <w:rFonts w:cs="OpenSymbol"/>
    </w:rPr>
  </w:style>
  <w:style w:type="character" w:styleId="ListLabel1990">
    <w:name w:val="ListLabel 1990"/>
    <w:qFormat/>
    <w:rPr>
      <w:rFonts w:cs="OpenSymbol"/>
    </w:rPr>
  </w:style>
  <w:style w:type="character" w:styleId="ListLabel1991">
    <w:name w:val="ListLabel 1991"/>
    <w:qFormat/>
    <w:rPr>
      <w:rFonts w:cs="OpenSymbol"/>
    </w:rPr>
  </w:style>
  <w:style w:type="character" w:styleId="ListLabel1992">
    <w:name w:val="ListLabel 1992"/>
    <w:qFormat/>
    <w:rPr>
      <w:rFonts w:cs="OpenSymbol"/>
    </w:rPr>
  </w:style>
  <w:style w:type="character" w:styleId="ListLabel1993">
    <w:name w:val="ListLabel 1993"/>
    <w:qFormat/>
    <w:rPr>
      <w:rFonts w:cs="OpenSymbol"/>
    </w:rPr>
  </w:style>
  <w:style w:type="character" w:styleId="ListLabel1994">
    <w:name w:val="ListLabel 1994"/>
    <w:qFormat/>
    <w:rPr>
      <w:rFonts w:cs="OpenSymbol"/>
    </w:rPr>
  </w:style>
  <w:style w:type="character" w:styleId="ListLabel1995">
    <w:name w:val="ListLabel 1995"/>
    <w:qFormat/>
    <w:rPr>
      <w:rFonts w:cs="OpenSymbol"/>
    </w:rPr>
  </w:style>
  <w:style w:type="character" w:styleId="ListLabel1996">
    <w:name w:val="ListLabel 1996"/>
    <w:qFormat/>
    <w:rPr>
      <w:rFonts w:cs="OpenSymbol"/>
    </w:rPr>
  </w:style>
  <w:style w:type="character" w:styleId="ListLabel1997">
    <w:name w:val="ListLabel 1997"/>
    <w:qFormat/>
    <w:rPr>
      <w:rFonts w:cs="OpenSymbol"/>
    </w:rPr>
  </w:style>
  <w:style w:type="character" w:styleId="ListLabel1998">
    <w:name w:val="ListLabel 1998"/>
    <w:qFormat/>
    <w:rPr>
      <w:rFonts w:cs="Times New Roman"/>
    </w:rPr>
  </w:style>
  <w:style w:type="character" w:styleId="ListLabel1999">
    <w:name w:val="ListLabel 1999"/>
    <w:qFormat/>
    <w:rPr>
      <w:rFonts w:cs="Times New Roman"/>
    </w:rPr>
  </w:style>
  <w:style w:type="character" w:styleId="ListLabel2000">
    <w:name w:val="ListLabel 2000"/>
    <w:qFormat/>
    <w:rPr>
      <w:rFonts w:cs="Times New Roman"/>
    </w:rPr>
  </w:style>
  <w:style w:type="character" w:styleId="ListLabel2001">
    <w:name w:val="ListLabel 2001"/>
    <w:qFormat/>
    <w:rPr>
      <w:rFonts w:cs="Times New Roman"/>
    </w:rPr>
  </w:style>
  <w:style w:type="character" w:styleId="ListLabel2002">
    <w:name w:val="ListLabel 2002"/>
    <w:qFormat/>
    <w:rPr>
      <w:rFonts w:cs="Times New Roman"/>
    </w:rPr>
  </w:style>
  <w:style w:type="character" w:styleId="ListLabel2003">
    <w:name w:val="ListLabel 2003"/>
    <w:qFormat/>
    <w:rPr>
      <w:rFonts w:cs="Times New Roman"/>
    </w:rPr>
  </w:style>
  <w:style w:type="character" w:styleId="ListLabel2004">
    <w:name w:val="ListLabel 2004"/>
    <w:qFormat/>
    <w:rPr>
      <w:rFonts w:cs="Times New Roman"/>
    </w:rPr>
  </w:style>
  <w:style w:type="character" w:styleId="ListLabel2005">
    <w:name w:val="ListLabel 2005"/>
    <w:qFormat/>
    <w:rPr>
      <w:rFonts w:cs="Times New Roman"/>
    </w:rPr>
  </w:style>
  <w:style w:type="character" w:styleId="ListLabel2006">
    <w:name w:val="ListLabel 2006"/>
    <w:qFormat/>
    <w:rPr>
      <w:rFonts w:cs="Times New Roman"/>
    </w:rPr>
  </w:style>
  <w:style w:type="character" w:styleId="ListLabel2007">
    <w:name w:val="ListLabel 2007"/>
    <w:qFormat/>
    <w:rPr>
      <w:rFonts w:cs="Times New Roman"/>
    </w:rPr>
  </w:style>
  <w:style w:type="character" w:styleId="ListLabel2008">
    <w:name w:val="ListLabel 2008"/>
    <w:qFormat/>
    <w:rPr>
      <w:rFonts w:cs="Times New Roman"/>
    </w:rPr>
  </w:style>
  <w:style w:type="character" w:styleId="ListLabel2009">
    <w:name w:val="ListLabel 2009"/>
    <w:qFormat/>
    <w:rPr>
      <w:rFonts w:cs="Times New Roman"/>
    </w:rPr>
  </w:style>
  <w:style w:type="character" w:styleId="ListLabel2010">
    <w:name w:val="ListLabel 2010"/>
    <w:qFormat/>
    <w:rPr>
      <w:rFonts w:cs="OpenSymbol"/>
    </w:rPr>
  </w:style>
  <w:style w:type="character" w:styleId="ListLabel2011">
    <w:name w:val="ListLabel 2011"/>
    <w:qFormat/>
    <w:rPr>
      <w:rFonts w:cs="OpenSymbol"/>
    </w:rPr>
  </w:style>
  <w:style w:type="character" w:styleId="ListLabel2012">
    <w:name w:val="ListLabel 2012"/>
    <w:qFormat/>
    <w:rPr>
      <w:rFonts w:cs="OpenSymbol"/>
    </w:rPr>
  </w:style>
  <w:style w:type="character" w:styleId="ListLabel2013">
    <w:name w:val="ListLabel 2013"/>
    <w:qFormat/>
    <w:rPr>
      <w:rFonts w:cs="OpenSymbol"/>
    </w:rPr>
  </w:style>
  <w:style w:type="character" w:styleId="ListLabel2014">
    <w:name w:val="ListLabel 2014"/>
    <w:qFormat/>
    <w:rPr>
      <w:rFonts w:cs="OpenSymbol"/>
    </w:rPr>
  </w:style>
  <w:style w:type="character" w:styleId="ListLabel2015">
    <w:name w:val="ListLabel 2015"/>
    <w:qFormat/>
    <w:rPr>
      <w:rFonts w:cs="OpenSymbol"/>
    </w:rPr>
  </w:style>
  <w:style w:type="character" w:styleId="ListLabel2016">
    <w:name w:val="ListLabel 2016"/>
    <w:qFormat/>
    <w:rPr>
      <w:rFonts w:cs="OpenSymbol"/>
    </w:rPr>
  </w:style>
  <w:style w:type="character" w:styleId="ListLabel2017">
    <w:name w:val="ListLabel 2017"/>
    <w:qFormat/>
    <w:rPr>
      <w:rFonts w:cs="OpenSymbol"/>
    </w:rPr>
  </w:style>
  <w:style w:type="character" w:styleId="ListLabel2018">
    <w:name w:val="ListLabel 2018"/>
    <w:qFormat/>
    <w:rPr>
      <w:rFonts w:cs="OpenSymbol"/>
    </w:rPr>
  </w:style>
  <w:style w:type="character" w:styleId="ListLabel2019">
    <w:name w:val="ListLabel 2019"/>
    <w:qFormat/>
    <w:rPr>
      <w:rFonts w:cs="OpenSymbol"/>
    </w:rPr>
  </w:style>
  <w:style w:type="character" w:styleId="ListLabel2020">
    <w:name w:val="ListLabel 2020"/>
    <w:qFormat/>
    <w:rPr>
      <w:rFonts w:cs="OpenSymbol"/>
    </w:rPr>
  </w:style>
  <w:style w:type="character" w:styleId="ListLabel2021">
    <w:name w:val="ListLabel 2021"/>
    <w:qFormat/>
    <w:rPr>
      <w:rFonts w:cs="OpenSymbol"/>
    </w:rPr>
  </w:style>
  <w:style w:type="character" w:styleId="ListLabel2022">
    <w:name w:val="ListLabel 2022"/>
    <w:qFormat/>
    <w:rPr>
      <w:rFonts w:cs="OpenSymbol"/>
    </w:rPr>
  </w:style>
  <w:style w:type="character" w:styleId="ListLabel2023">
    <w:name w:val="ListLabel 2023"/>
    <w:qFormat/>
    <w:rPr>
      <w:rFonts w:cs="OpenSymbol"/>
    </w:rPr>
  </w:style>
  <w:style w:type="character" w:styleId="ListLabel2024">
    <w:name w:val="ListLabel 2024"/>
    <w:qFormat/>
    <w:rPr>
      <w:rFonts w:cs="OpenSymbol"/>
    </w:rPr>
  </w:style>
  <w:style w:type="character" w:styleId="ListLabel2025">
    <w:name w:val="ListLabel 2025"/>
    <w:qFormat/>
    <w:rPr>
      <w:rFonts w:cs="OpenSymbol"/>
    </w:rPr>
  </w:style>
  <w:style w:type="character" w:styleId="ListLabel2026">
    <w:name w:val="ListLabel 2026"/>
    <w:qFormat/>
    <w:rPr>
      <w:rFonts w:cs="OpenSymbol"/>
    </w:rPr>
  </w:style>
  <w:style w:type="character" w:styleId="ListLabel2027">
    <w:name w:val="ListLabel 2027"/>
    <w:qFormat/>
    <w:rPr>
      <w:rFonts w:cs="OpenSymbol"/>
    </w:rPr>
  </w:style>
  <w:style w:type="character" w:styleId="ListLabel2028">
    <w:name w:val="ListLabel 2028"/>
    <w:qFormat/>
    <w:rPr>
      <w:rFonts w:cs="OpenSymbol"/>
    </w:rPr>
  </w:style>
  <w:style w:type="character" w:styleId="ListLabel2029">
    <w:name w:val="ListLabel 2029"/>
    <w:qFormat/>
    <w:rPr>
      <w:rFonts w:cs="OpenSymbol"/>
    </w:rPr>
  </w:style>
  <w:style w:type="character" w:styleId="ListLabel2030">
    <w:name w:val="ListLabel 2030"/>
    <w:qFormat/>
    <w:rPr>
      <w:rFonts w:cs="OpenSymbol"/>
    </w:rPr>
  </w:style>
  <w:style w:type="character" w:styleId="ListLabel2031">
    <w:name w:val="ListLabel 2031"/>
    <w:qFormat/>
    <w:rPr>
      <w:rFonts w:cs="OpenSymbol"/>
    </w:rPr>
  </w:style>
  <w:style w:type="character" w:styleId="ListLabel2032">
    <w:name w:val="ListLabel 2032"/>
    <w:qFormat/>
    <w:rPr>
      <w:rFonts w:cs="OpenSymbol"/>
    </w:rPr>
  </w:style>
  <w:style w:type="character" w:styleId="ListLabel2033">
    <w:name w:val="ListLabel 2033"/>
    <w:qFormat/>
    <w:rPr>
      <w:rFonts w:cs="OpenSymbol"/>
    </w:rPr>
  </w:style>
  <w:style w:type="character" w:styleId="ListLabel2034">
    <w:name w:val="ListLabel 2034"/>
    <w:qFormat/>
    <w:rPr>
      <w:rFonts w:cs="OpenSymbol"/>
    </w:rPr>
  </w:style>
  <w:style w:type="character" w:styleId="ListLabel2035">
    <w:name w:val="ListLabel 2035"/>
    <w:qFormat/>
    <w:rPr>
      <w:rFonts w:cs="OpenSymbol"/>
    </w:rPr>
  </w:style>
  <w:style w:type="character" w:styleId="ListLabel2036">
    <w:name w:val="ListLabel 2036"/>
    <w:qFormat/>
    <w:rPr>
      <w:rFonts w:cs="OpenSymbol"/>
    </w:rPr>
  </w:style>
  <w:style w:type="character" w:styleId="ListLabel2037">
    <w:name w:val="ListLabel 2037"/>
    <w:qFormat/>
    <w:rPr>
      <w:rFonts w:cs="OpenSymbol"/>
    </w:rPr>
  </w:style>
  <w:style w:type="character" w:styleId="ListLabel2038">
    <w:name w:val="ListLabel 2038"/>
    <w:qFormat/>
    <w:rPr>
      <w:rFonts w:cs="OpenSymbol"/>
    </w:rPr>
  </w:style>
  <w:style w:type="character" w:styleId="ListLabel2039">
    <w:name w:val="ListLabel 2039"/>
    <w:qFormat/>
    <w:rPr>
      <w:rFonts w:cs="OpenSymbol"/>
    </w:rPr>
  </w:style>
  <w:style w:type="character" w:styleId="ListLabel2040">
    <w:name w:val="ListLabel 2040"/>
    <w:qFormat/>
    <w:rPr>
      <w:rFonts w:cs="OpenSymbol"/>
    </w:rPr>
  </w:style>
  <w:style w:type="character" w:styleId="ListLabel2041">
    <w:name w:val="ListLabel 2041"/>
    <w:qFormat/>
    <w:rPr>
      <w:rFonts w:cs="OpenSymbol"/>
    </w:rPr>
  </w:style>
  <w:style w:type="character" w:styleId="ListLabel2042">
    <w:name w:val="ListLabel 2042"/>
    <w:qFormat/>
    <w:rPr>
      <w:rFonts w:cs="OpenSymbol"/>
    </w:rPr>
  </w:style>
  <w:style w:type="character" w:styleId="ListLabel2043">
    <w:name w:val="ListLabel 2043"/>
    <w:qFormat/>
    <w:rPr>
      <w:rFonts w:cs="OpenSymbol"/>
    </w:rPr>
  </w:style>
  <w:style w:type="character" w:styleId="ListLabel2044">
    <w:name w:val="ListLabel 2044"/>
    <w:qFormat/>
    <w:rPr>
      <w:rFonts w:cs="OpenSymbol"/>
    </w:rPr>
  </w:style>
  <w:style w:type="character" w:styleId="ListLabel2045">
    <w:name w:val="ListLabel 2045"/>
    <w:qFormat/>
    <w:rPr>
      <w:rFonts w:cs="OpenSymbol"/>
    </w:rPr>
  </w:style>
  <w:style w:type="character" w:styleId="ListLabel2046">
    <w:name w:val="ListLabel 2046"/>
    <w:qFormat/>
    <w:rPr>
      <w:rFonts w:cs="OpenSymbol"/>
    </w:rPr>
  </w:style>
  <w:style w:type="character" w:styleId="ListLabel2047">
    <w:name w:val="ListLabel 2047"/>
    <w:qFormat/>
    <w:rPr>
      <w:rFonts w:cs="OpenSymbol"/>
    </w:rPr>
  </w:style>
  <w:style w:type="character" w:styleId="ListLabel2048">
    <w:name w:val="ListLabel 2048"/>
    <w:qFormat/>
    <w:rPr>
      <w:rFonts w:cs="OpenSymbol"/>
    </w:rPr>
  </w:style>
  <w:style w:type="character" w:styleId="ListLabel2049">
    <w:name w:val="ListLabel 2049"/>
    <w:qFormat/>
    <w:rPr>
      <w:rFonts w:cs="OpenSymbol"/>
    </w:rPr>
  </w:style>
  <w:style w:type="character" w:styleId="ListLabel2050">
    <w:name w:val="ListLabel 2050"/>
    <w:qFormat/>
    <w:rPr>
      <w:rFonts w:cs="OpenSymbol"/>
    </w:rPr>
  </w:style>
  <w:style w:type="character" w:styleId="ListLabel2051">
    <w:name w:val="ListLabel 2051"/>
    <w:qFormat/>
    <w:rPr>
      <w:rFonts w:cs="OpenSymbol"/>
    </w:rPr>
  </w:style>
  <w:style w:type="character" w:styleId="ListLabel2052">
    <w:name w:val="ListLabel 2052"/>
    <w:qFormat/>
    <w:rPr>
      <w:rFonts w:cs="OpenSymbol"/>
    </w:rPr>
  </w:style>
  <w:style w:type="character" w:styleId="ListLabel2053">
    <w:name w:val="ListLabel 2053"/>
    <w:qFormat/>
    <w:rPr>
      <w:rFonts w:cs="OpenSymbol"/>
    </w:rPr>
  </w:style>
  <w:style w:type="character" w:styleId="ListLabel2054">
    <w:name w:val="ListLabel 2054"/>
    <w:qFormat/>
    <w:rPr>
      <w:rFonts w:cs="OpenSymbol"/>
    </w:rPr>
  </w:style>
  <w:style w:type="character" w:styleId="ListLabel2055">
    <w:name w:val="ListLabel 2055"/>
    <w:qFormat/>
    <w:rPr>
      <w:rFonts w:cs="OpenSymbol"/>
    </w:rPr>
  </w:style>
  <w:style w:type="character" w:styleId="ListLabel2056">
    <w:name w:val="ListLabel 2056"/>
    <w:qFormat/>
    <w:rPr>
      <w:rFonts w:cs="OpenSymbol"/>
    </w:rPr>
  </w:style>
  <w:style w:type="character" w:styleId="ListLabel2057">
    <w:name w:val="ListLabel 2057"/>
    <w:qFormat/>
    <w:rPr>
      <w:rFonts w:cs="OpenSymbol"/>
    </w:rPr>
  </w:style>
  <w:style w:type="character" w:styleId="ListLabel2058">
    <w:name w:val="ListLabel 2058"/>
    <w:qFormat/>
    <w:rPr>
      <w:rFonts w:cs="OpenSymbol"/>
    </w:rPr>
  </w:style>
  <w:style w:type="character" w:styleId="ListLabel2059">
    <w:name w:val="ListLabel 2059"/>
    <w:qFormat/>
    <w:rPr>
      <w:rFonts w:cs="OpenSymbol"/>
    </w:rPr>
  </w:style>
  <w:style w:type="character" w:styleId="ListLabel2060">
    <w:name w:val="ListLabel 2060"/>
    <w:qFormat/>
    <w:rPr>
      <w:rFonts w:cs="OpenSymbol"/>
    </w:rPr>
  </w:style>
  <w:style w:type="character" w:styleId="ListLabel2061">
    <w:name w:val="ListLabel 2061"/>
    <w:qFormat/>
    <w:rPr>
      <w:rFonts w:cs="OpenSymbol"/>
    </w:rPr>
  </w:style>
  <w:style w:type="character" w:styleId="ListLabel2062">
    <w:name w:val="ListLabel 2062"/>
    <w:qFormat/>
    <w:rPr>
      <w:rFonts w:cs="OpenSymbol"/>
    </w:rPr>
  </w:style>
  <w:style w:type="character" w:styleId="ListLabel2063">
    <w:name w:val="ListLabel 2063"/>
    <w:qFormat/>
    <w:rPr>
      <w:rFonts w:cs="OpenSymbol"/>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
    <w:name w:val="Header"/>
    <w:basedOn w:val="Normal"/>
    <w:link w:val="a5"/>
    <w:uiPriority w:val="99"/>
    <w:unhideWhenUsed/>
    <w:rsid w:val="00990686"/>
    <w:pPr>
      <w:tabs>
        <w:tab w:val="center" w:pos="4536" w:leader="none"/>
        <w:tab w:val="right" w:pos="9072" w:leader="none"/>
      </w:tabs>
      <w:spacing w:lineRule="auto" w:line="240" w:before="0" w:after="0"/>
    </w:pPr>
    <w:rPr/>
  </w:style>
  <w:style w:type="paragraph" w:styleId="Footer">
    <w:name w:val="Footer"/>
    <w:basedOn w:val="Normal"/>
    <w:link w:val="a7"/>
    <w:uiPriority w:val="99"/>
    <w:unhideWhenUsed/>
    <w:rsid w:val="00990686"/>
    <w:pPr>
      <w:tabs>
        <w:tab w:val="center" w:pos="4536" w:leader="none"/>
        <w:tab w:val="right" w:pos="9072" w:leader="none"/>
      </w:tabs>
      <w:spacing w:lineRule="auto" w:line="240" w:before="0" w:after="0"/>
    </w:pPr>
    <w:rPr/>
  </w:style>
  <w:style w:type="paragraph" w:styleId="BalloonText">
    <w:name w:val="Balloon Text"/>
    <w:basedOn w:val="Normal"/>
    <w:link w:val="a9"/>
    <w:uiPriority w:val="99"/>
    <w:semiHidden/>
    <w:unhideWhenUsed/>
    <w:qFormat/>
    <w:rsid w:val="00990686"/>
    <w:pPr>
      <w:spacing w:lineRule="auto" w:line="240" w:before="0" w:after="0"/>
    </w:pPr>
    <w:rPr>
      <w:rFonts w:ascii="Tahoma" w:hAnsi="Tahoma" w:cs="Tahoma"/>
      <w:sz w:val="16"/>
      <w:szCs w:val="16"/>
    </w:rPr>
  </w:style>
  <w:style w:type="paragraph" w:styleId="Title">
    <w:name w:val="Title"/>
    <w:basedOn w:val="Normal"/>
    <w:link w:val="ab"/>
    <w:uiPriority w:val="10"/>
    <w:qFormat/>
    <w:rsid w:val="00005572"/>
    <w:pPr>
      <w:pBdr>
        <w:bottom w:val="single" w:sz="4" w:space="4" w:color="000001"/>
      </w:pBdr>
      <w:spacing w:lineRule="auto" w:line="240" w:before="0" w:after="300"/>
      <w:contextualSpacing/>
    </w:pPr>
    <w:rPr>
      <w:rFonts w:eastAsia="" w:eastAsiaTheme="majorEastAsia"/>
      <w:spacing w:val="5"/>
      <w:sz w:val="52"/>
      <w:szCs w:val="52"/>
    </w:rPr>
  </w:style>
  <w:style w:type="paragraph" w:styleId="BerschriftohneNummerierung" w:customStyle="1">
    <w:name w:val="Überschrift ohne Nummerierung"/>
    <w:basedOn w:val="Normal"/>
    <w:link w:val="berschriftohneNummerierungZchn"/>
    <w:qFormat/>
    <w:rsid w:val="005732f2"/>
    <w:pPr/>
    <w:rPr>
      <w:b/>
    </w:rPr>
  </w:style>
  <w:style w:type="paragraph" w:styleId="Abstract" w:customStyle="1">
    <w:name w:val="Abstract"/>
    <w:basedOn w:val="Normal"/>
    <w:link w:val="AbstractZchn"/>
    <w:qFormat/>
    <w:rsid w:val="005732f2"/>
    <w:pPr/>
    <w:rPr>
      <w:i/>
    </w:rPr>
  </w:style>
  <w:style w:type="paragraph" w:styleId="Authors" w:customStyle="1">
    <w:name w:val="Authors"/>
    <w:basedOn w:val="Normal"/>
    <w:link w:val="AuthorsZchn"/>
    <w:qFormat/>
    <w:rsid w:val="005732f2"/>
    <w:pPr/>
    <w:rPr/>
  </w:style>
  <w:style w:type="paragraph" w:styleId="ListParagraph">
    <w:name w:val="List Paragraph"/>
    <w:basedOn w:val="Normal"/>
    <w:uiPriority w:val="34"/>
    <w:qFormat/>
    <w:rsid w:val="000e440f"/>
    <w:pPr>
      <w:spacing w:before="0" w:after="200"/>
      <w:contextualSpacing/>
    </w:pPr>
    <w:rPr/>
  </w:style>
  <w:style w:type="paragraph" w:styleId="Caption1">
    <w:name w:val="caption"/>
    <w:basedOn w:val="Normal"/>
    <w:uiPriority w:val="35"/>
    <w:unhideWhenUsed/>
    <w:qFormat/>
    <w:rsid w:val="00331882"/>
    <w:pPr>
      <w:keepNext/>
      <w:spacing w:lineRule="auto" w:line="240" w:before="120" w:after="120"/>
      <w:jc w:val="center"/>
    </w:pPr>
    <w:rPr>
      <w:b/>
      <w:bCs/>
    </w:rPr>
  </w:style>
  <w:style w:type="paragraph" w:styleId="NormalWeb">
    <w:name w:val="Normal (Web)"/>
    <w:basedOn w:val="Normal"/>
    <w:link w:val="Web0"/>
    <w:uiPriority w:val="99"/>
    <w:semiHidden/>
    <w:unhideWhenUsed/>
    <w:qFormat/>
    <w:rsid w:val="009f4955"/>
    <w:pPr>
      <w:spacing w:lineRule="auto" w:line="240" w:beforeAutospacing="1" w:afterAutospacing="1"/>
      <w:jc w:val="left"/>
    </w:pPr>
    <w:rPr>
      <w:sz w:val="24"/>
      <w:szCs w:val="24"/>
      <w:lang w:eastAsia="de-CH"/>
    </w:rPr>
  </w:style>
  <w:style w:type="paragraph" w:styleId="Annotationtext">
    <w:name w:val="annotation text"/>
    <w:basedOn w:val="Normal"/>
    <w:link w:val="af1"/>
    <w:uiPriority w:val="99"/>
    <w:semiHidden/>
    <w:unhideWhenUsed/>
    <w:qFormat/>
    <w:rsid w:val="001b0ba8"/>
    <w:pPr>
      <w:spacing w:lineRule="auto" w:line="240"/>
    </w:pPr>
    <w:rPr>
      <w:sz w:val="20"/>
      <w:szCs w:val="20"/>
    </w:rPr>
  </w:style>
  <w:style w:type="paragraph" w:styleId="Annotationsubject">
    <w:name w:val="annotation subject"/>
    <w:basedOn w:val="Annotationtext"/>
    <w:link w:val="af3"/>
    <w:uiPriority w:val="99"/>
    <w:semiHidden/>
    <w:unhideWhenUsed/>
    <w:qFormat/>
    <w:rsid w:val="001b0ba8"/>
    <w:pPr/>
    <w:rPr>
      <w:b/>
      <w:bCs/>
    </w:rPr>
  </w:style>
  <w:style w:type="paragraph" w:styleId="References" w:customStyle="1">
    <w:name w:val="References"/>
    <w:basedOn w:val="NormalWeb"/>
    <w:link w:val="ReferencesZchn"/>
    <w:qFormat/>
    <w:rsid w:val="001b0ba8"/>
    <w:pPr>
      <w:ind w:left="480" w:hanging="480"/>
    </w:pPr>
    <w:rPr>
      <w:sz w:val="22"/>
      <w:szCs w:val="22"/>
    </w:rPr>
  </w:style>
  <w:style w:type="paragraph" w:styleId="Revision">
    <w:name w:val="Revision"/>
    <w:uiPriority w:val="99"/>
    <w:semiHidden/>
    <w:qFormat/>
    <w:rsid w:val="002d1563"/>
    <w:pPr>
      <w:widowControl/>
      <w:bidi w:val="0"/>
      <w:spacing w:lineRule="auto" w:line="240" w:before="0" w:after="0"/>
      <w:jc w:val="left"/>
    </w:pPr>
    <w:rPr>
      <w:rFonts w:ascii="Times New Roman" w:hAnsi="Times New Roman" w:eastAsia="" w:cs="Times New Roman" w:eastAsiaTheme="minorEastAsia"/>
      <w:color w:val="00000A"/>
      <w:sz w:val="22"/>
      <w:szCs w:val="22"/>
      <w:lang w:val="de-CH" w:eastAsia="en-US" w:bidi="ar-SA"/>
    </w:rPr>
  </w:style>
  <w:style w:type="paragraph" w:styleId="Subtitle">
    <w:name w:val="Subtitle"/>
    <w:basedOn w:val="Normal"/>
    <w:link w:val="af8"/>
    <w:uiPriority w:val="11"/>
    <w:qFormat/>
    <w:rsid w:val="00b54223"/>
    <w:pPr/>
    <w:rPr>
      <w:rFonts w:ascii="Cambria" w:hAnsi="Cambria" w:eastAsia="" w:cs="" w:asciiTheme="majorHAnsi" w:cstheme="majorBidi" w:eastAsiaTheme="majorEastAsia" w:hAnsiTheme="majorHAnsi"/>
      <w:i/>
      <w:iCs/>
      <w:color w:val="C6077B"/>
      <w:spacing w:val="15"/>
      <w:sz w:val="24"/>
      <w:szCs w:val="24"/>
    </w:rPr>
  </w:style>
  <w:style w:type="paragraph" w:styleId="IntenseQuote">
    <w:name w:val="Intense Quote"/>
    <w:basedOn w:val="Normal"/>
    <w:link w:val="23"/>
    <w:uiPriority w:val="30"/>
    <w:qFormat/>
    <w:rsid w:val="00b54223"/>
    <w:pPr>
      <w:pBdr>
        <w:bottom w:val="single" w:sz="4" w:space="4" w:color="C6077B"/>
      </w:pBdr>
      <w:spacing w:before="200" w:after="280"/>
      <w:ind w:left="936" w:right="936" w:hanging="0"/>
    </w:pPr>
    <w:rPr>
      <w:b/>
      <w:bCs/>
      <w:i/>
      <w:iCs/>
      <w:color w:val="C6077B"/>
    </w:rPr>
  </w:style>
  <w:style w:type="paragraph" w:styleId="Quote">
    <w:name w:val="Quote"/>
    <w:basedOn w:val="Normal"/>
    <w:link w:val="afe"/>
    <w:uiPriority w:val="29"/>
    <w:qFormat/>
    <w:rsid w:val="003827c1"/>
    <w:pPr/>
    <w:rPr>
      <w:i/>
      <w:iCs/>
      <w:color w:val="000000" w:themeColor="text1"/>
    </w:rPr>
  </w:style>
  <w:style w:type="paragraph" w:styleId="Bibliography1">
    <w:name w:val="Bibliography 1"/>
    <w:basedOn w:val="Index"/>
    <w:qFormat/>
    <w:pPr>
      <w:spacing w:lineRule="atLeast" w:line="480" w:before="0" w:after="0"/>
      <w:ind w:left="720" w:hanging="720"/>
    </w:pPr>
    <w:rPr/>
  </w:style>
  <w:style w:type="paragraph" w:styleId="TableContents">
    <w:name w:val="Table Contents"/>
    <w:basedOn w:val="Normal"/>
    <w:qFormat/>
    <w:pPr>
      <w:spacing w:before="0" w:after="0"/>
    </w:pPr>
    <w:rPr/>
  </w:style>
  <w:style w:type="paragraph" w:styleId="TableHeading">
    <w:name w:val="Table Heading"/>
    <w:basedOn w:val="TableContents"/>
    <w:qFormat/>
    <w:pPr/>
    <w:rPr/>
  </w:style>
  <w:style w:type="paragraph" w:styleId="FrameContents">
    <w:name w:val="Frame Contents"/>
    <w:basedOn w:val="Normal"/>
    <w:qFormat/>
    <w:pPr/>
    <w:rPr/>
  </w:style>
  <w:style w:type="paragraph" w:styleId="Quotations">
    <w:name w:val="Quotations"/>
    <w:basedOn w:val="Normal"/>
    <w:qFormat/>
    <w:pPr>
      <w:ind w:left="363" w:right="0" w:hanging="0"/>
    </w:pPr>
    <w:rPr>
      <w:sz w:val="20"/>
    </w:rPr>
  </w:style>
  <w:style w:type="paragraph" w:styleId="Table">
    <w:name w:val="Table"/>
    <w:basedOn w:val="Caption"/>
    <w:qFormat/>
    <w:pPr/>
    <w:rPr/>
  </w:style>
  <w:style w:type="paragraph" w:styleId="Figure">
    <w:name w:val="Figure"/>
    <w:basedOn w:val="Caption"/>
    <w:qFormat/>
    <w:pPr/>
    <w:rPr/>
  </w:style>
  <w:style w:type="numbering" w:styleId="NoList" w:default="1">
    <w:name w:val="No List"/>
    <w:uiPriority w:val="99"/>
    <w:semiHidden/>
    <w:unhideWhenUsed/>
    <w:qFormat/>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c">
    <w:name w:val="Table Grid"/>
    <w:basedOn w:val="a2"/>
    <w:uiPriority w:val="59"/>
    <w:rsid w:val="00990686"/>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oevolving@gmail.com" TargetMode="External"/><Relationship Id="rId3" Type="http://schemas.openxmlformats.org/officeDocument/2006/relationships/image" Target="media/image1.tif"/><Relationship Id="rId4" Type="http://schemas.openxmlformats.org/officeDocument/2006/relationships/hyperlink" Target="http://dx.doi.org/10.1007/978-1-84882-809-4_4" TargetMode="External"/><Relationship Id="rId5" Type="http://schemas.openxmlformats.org/officeDocument/2006/relationships/hyperlink" Target="http://vads.ac.uk/diad/article.php?year=1966&amp;title=206&amp;article=d.206.27" TargetMode="External"/><Relationship Id="rId6" Type="http://schemas.openxmlformats.org/officeDocument/2006/relationships/hyperlink" Target="http://www.natureoforder.com/library-of-articles.htm" TargetMode="External"/><Relationship Id="rId7" Type="http://schemas.openxmlformats.org/officeDocument/2006/relationships/hyperlink" Target="http://www.livingneighborhoods.org/ht-0/patternlanguages.htm" TargetMode="External"/><Relationship Id="rId8" Type="http://schemas.openxmlformats.org/officeDocument/2006/relationships/hyperlink" Target="http://www.arch.ksu.edu/seamon/Alexander_Nature of Order.htm" TargetMode="External"/><Relationship Id="rId9" Type="http://schemas.openxmlformats.org/officeDocument/2006/relationships/hyperlink" Target="http://doi.org/10.1016/j.futures.2011.04.011" TargetMode="External"/><Relationship Id="rId10" Type="http://schemas.openxmlformats.org/officeDocument/2006/relationships/hyperlink" Target="http://www.drdobbs.com/architecture-and-design/agile-at-10-what-we-believe-scott-ambler/229301128" TargetMode="External"/><Relationship Id="rId11" Type="http://schemas.openxmlformats.org/officeDocument/2006/relationships/hyperlink" Target="http://doi.org/10.2307/2407104" TargetMode="External"/><Relationship Id="rId12" Type="http://schemas.openxmlformats.org/officeDocument/2006/relationships/hyperlink" Target="http://doi.org/10.2307/3868190" TargetMode="External"/><Relationship Id="rId13" Type="http://schemas.openxmlformats.org/officeDocument/2006/relationships/hyperlink" Target="http://doi.org/10.1145/504729.504731" TargetMode="External"/><Relationship Id="rId14" Type="http://schemas.openxmlformats.org/officeDocument/2006/relationships/hyperlink" Target="http://doi.org/10.1057/palgrave.jors.2602111" TargetMode="External"/><Relationship Id="rId15" Type="http://schemas.openxmlformats.org/officeDocument/2006/relationships/hyperlink" Target="http://dx.doi.org/10.1007/978-1-84882-809-4_5" TargetMode="External"/><Relationship Id="rId16" Type="http://schemas.openxmlformats.org/officeDocument/2006/relationships/hyperlink" Target="http://www.comsis.org/archive.php?show=vol0102" TargetMode="External"/><Relationship Id="rId17" Type="http://schemas.openxmlformats.org/officeDocument/2006/relationships/hyperlink" Target="http://c2.com/cgi/wiki?WikiHistory" TargetMode="External"/><Relationship Id="rId18" Type="http://schemas.openxmlformats.org/officeDocument/2006/relationships/hyperlink" Target="http://dl.acm.org/citation.cfm?id=2725669.2725707" TargetMode="External"/><Relationship Id="rId19" Type="http://schemas.openxmlformats.org/officeDocument/2006/relationships/hyperlink" Target="http://blog.longnow.org/02015/02/08/pace-layers-stewart-brand-paul-saffos-conversations-at-the-interval/" TargetMode="External"/><Relationship Id="rId20" Type="http://schemas.openxmlformats.org/officeDocument/2006/relationships/hyperlink" Target="http://doi.org/10.1145/347642.347794" TargetMode="External"/><Relationship Id="rId21" Type="http://schemas.openxmlformats.org/officeDocument/2006/relationships/hyperlink" Target="http://plato.stanford.edu/archives/win2012/entries/aristotle-causality/" TargetMode="External"/><Relationship Id="rId22" Type="http://schemas.openxmlformats.org/officeDocument/2006/relationships/hyperlink" Target="http://www.wired.com/wiredenterprise/2012/07/wiki-inventor/" TargetMode="External"/><Relationship Id="rId23" Type="http://schemas.openxmlformats.org/officeDocument/2006/relationships/hyperlink" Target="http://doi.org/10.1057/palgrave.jors.2602089" TargetMode="External"/><Relationship Id="rId24" Type="http://schemas.openxmlformats.org/officeDocument/2006/relationships/hyperlink" Target="http://dreamsongs.net/Files/PatternsOfSoftware.pdf" TargetMode="External"/><Relationship Id="rId25" Type="http://schemas.openxmlformats.org/officeDocument/2006/relationships/hyperlink" Target="http://dx.doi.org/10.1287/mksc.12.1.1" TargetMode="External"/><Relationship Id="rId26" Type="http://schemas.openxmlformats.org/officeDocument/2006/relationships/hyperlink" Target="http://www.ibm.com/developerworks/rational/library/dec05/haumer/" TargetMode="External"/><Relationship Id="rId27" Type="http://schemas.openxmlformats.org/officeDocument/2006/relationships/hyperlink" Target="https://eclipse.org/epf/general/EPFComposerOverviewPart1.pdf" TargetMode="External"/><Relationship Id="rId28" Type="http://schemas.openxmlformats.org/officeDocument/2006/relationships/hyperlink" Target="http://brie.hunter.cuny.edu/hpe/2012/09/27/hunts-point-clinic-to-close-in-disgrace/" TargetMode="External"/><Relationship Id="rId29" Type="http://schemas.openxmlformats.org/officeDocument/2006/relationships/hyperlink" Target="http://doi.org/10.1007/s10021-001-0101-5" TargetMode="External"/><Relationship Id="rId30" Type="http://schemas.openxmlformats.org/officeDocument/2006/relationships/hyperlink" Target="http://coevolving.com/commons/201501-from-environmental-structure-to-service-systems-thinking" TargetMode="External"/><Relationship Id="rId31" Type="http://schemas.openxmlformats.org/officeDocument/2006/relationships/hyperlink" Target="http://www.eki.ee/km/place/koht_5.htm" TargetMode="External"/><Relationship Id="rId32" Type="http://schemas.openxmlformats.org/officeDocument/2006/relationships/hyperlink" Target="https://news.google.com/newspapers?nid=1310&amp;dat=19701108&amp;id=I-dVAAAAIBAJ&amp;sjid=IeEDAAAAIBAJ&amp;pg=3517,1678966" TargetMode="External"/><Relationship Id="rId33" Type="http://schemas.openxmlformats.org/officeDocument/2006/relationships/hyperlink" Target="http://doi.org/10.1007/s11747-007-0058-9" TargetMode="External"/><Relationship Id="rId34" Type="http://schemas.openxmlformats.org/officeDocument/2006/relationships/hyperlink" Target="http://doi.org/10.1007/s10257-008-0105-1" TargetMode="External"/><Relationship Id="rId35" Type="http://schemas.openxmlformats.org/officeDocument/2006/relationships/hyperlink" Target="http://doi.org/10.1080/17549170801903678" TargetMode="External"/><Relationship Id="rId36" Type="http://schemas.openxmlformats.org/officeDocument/2006/relationships/hyperlink" Target="http://athensdialogues.chs.harvard.edu/cgi-bin/WebObjects/athensdialogues.woa/wa/dist?dis=47" TargetMode="External"/><Relationship Id="rId37" Type="http://schemas.openxmlformats.org/officeDocument/2006/relationships/hyperlink" Target="http://dl.acm.org/citation.cfm?id=2725669.2725708" TargetMode="External"/><Relationship Id="rId38" Type="http://schemas.openxmlformats.org/officeDocument/2006/relationships/hyperlink" Target="http://dx.doi.org/10.1108/S1548-6435(2012)0000009011" TargetMode="External"/><Relationship Id="rId39" Type="http://schemas.openxmlformats.org/officeDocument/2006/relationships/hyperlink" Target="https://dannorth.net/introducing-bdd/" TargetMode="External"/><Relationship Id="rId40" Type="http://schemas.openxmlformats.org/officeDocument/2006/relationships/hyperlink" Target="http://doi.org/10.1002/(SICI)1097-0266(199901)20:1&lt;49::AID-SMJ20&gt;3.0.CO;2-2" TargetMode="External"/><Relationship Id="rId41" Type="http://schemas.openxmlformats.org/officeDocument/2006/relationships/hyperlink" Target="http://doi.org/10.1007/BF01405730" TargetMode="External"/><Relationship Id="rId42" Type="http://schemas.openxmlformats.org/officeDocument/2006/relationships/hyperlink" Target="http://doi.org/10.1057/palgrave.jors.2602206" TargetMode="External"/><Relationship Id="rId43" Type="http://schemas.openxmlformats.org/officeDocument/2006/relationships/hyperlink" Target="http://dl.acm.org/citation.cfm?id=41801" TargetMode="External"/><Relationship Id="rId44" Type="http://schemas.openxmlformats.org/officeDocument/2006/relationships/hyperlink" Target="http://apps.acsa-arch.org/resources/proceedings/uploads/streamfile.aspx?path=ACSA.AM.103&amp;name=ACSA.AM.103.75.pdf" TargetMode="External"/><Relationship Id="rId45" Type="http://schemas.openxmlformats.org/officeDocument/2006/relationships/hyperlink" Target="https://www.scrumalliance.org/scrum/media/scrumalliancemedia/files and pdfs/state of scrum/scrum-alliance-state-of-scrum-2015.pdf" TargetMode="External"/><Relationship Id="rId46" Type="http://schemas.openxmlformats.org/officeDocument/2006/relationships/hyperlink" Target="http://www.cloud-cuckoo.net/openarchive/wolke/eng/Subjects/982/Seamon/seamon_t.html" TargetMode="External"/><Relationship Id="rId47" Type="http://schemas.openxmlformats.org/officeDocument/2006/relationships/hyperlink" Target="http://doi.org/10.1080/10510978909368277" TargetMode="External"/><Relationship Id="rId48" Type="http://schemas.openxmlformats.org/officeDocument/2006/relationships/image" Target="media/image2.jpeg"/><Relationship Id="rId49" Type="http://schemas.openxmlformats.org/officeDocument/2006/relationships/footer" Target="footer1.xml"/><Relationship Id="rId50" Type="http://schemas.openxmlformats.org/officeDocument/2006/relationships/numbering" Target="numbering.xml"/><Relationship Id="rId51" Type="http://schemas.openxmlformats.org/officeDocument/2006/relationships/fontTable" Target="fontTable.xml"/><Relationship Id="rId52" Type="http://schemas.openxmlformats.org/officeDocument/2006/relationships/settings" Target="settings.xml"/><Relationship Id="rId53" Type="http://schemas.openxmlformats.org/officeDocument/2006/relationships/theme" Target="theme/theme1.xml"/><Relationship Id="rId54" Type="http://schemas.openxmlformats.org/officeDocument/2006/relationships/customXml" Target="../customXml/item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98577-1193-1A46-A0F2-D5B59FE9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11020</TotalTime>
  <Application>LibreOffice/5.2.2.2$Linux_X86_64 LibreOffice_project/20m0$Build-2</Application>
  <Pages>47</Pages>
  <Words>22803</Words>
  <Characters>125264</Characters>
  <CharactersWithSpaces>147876</CharactersWithSpaces>
  <Paragraphs>673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2016-08-14T13:56:00Z</dcterms:created>
  <dc:creator>iTeL</dc:creator>
  <dc:description>University of San Francisco, California</dc:description>
  <dc:language>en-CA</dc:language>
  <cp:lastModifiedBy>David Ing</cp:lastModifiedBy>
  <dcterms:modified xsi:type="dcterms:W3CDTF">2016-10-20T11:01:07Z</dcterms:modified>
  <cp:revision>279</cp:revision>
  <dc:subject>2016 International PUARL Conference, October 28-30, 2016</dc:subject>
  <dc:title>Pattern Manual for Service Systems Thinking: A proposal for discussion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Mendeley Citation Style_1">
    <vt:lpwstr>http://www.zotero.org/styles/chicago-author-date-de</vt:lpwstr>
  </property>
  <property fmtid="{D5CDD505-2E9C-101B-9397-08002B2CF9AE}" pid="7" name="Mendeley Document_1">
    <vt:lpwstr>True</vt:lpwstr>
  </property>
  <property fmtid="{D5CDD505-2E9C-101B-9397-08002B2CF9AE}" pid="8" name="Mendeley Recent Style Id 0_1">
    <vt:lpwstr>http://www.zotero.org/styles/academy-of-management-journal</vt:lpwstr>
  </property>
  <property fmtid="{D5CDD505-2E9C-101B-9397-08002B2CF9AE}" pid="9" name="Mendeley Recent Style Id 1_1">
    <vt:lpwstr>http://www.zotero.org/styles/apa</vt:lpwstr>
  </property>
  <property fmtid="{D5CDD505-2E9C-101B-9397-08002B2CF9AE}" pid="10" name="Mendeley Recent Style Id 2_1">
    <vt:lpwstr>http://www.zotero.org/styles/asa</vt:lpwstr>
  </property>
  <property fmtid="{D5CDD505-2E9C-101B-9397-08002B2CF9AE}" pid="11" name="Mendeley Recent Style Id 3_1">
    <vt:lpwstr>http://www.zotero.org/styles/chicago-author-date</vt:lpwstr>
  </property>
  <property fmtid="{D5CDD505-2E9C-101B-9397-08002B2CF9AE}" pid="12" name="Mendeley Recent Style Id 4_1">
    <vt:lpwstr>http://www.zotero.org/styles/chicago-author-date-de</vt:lpwstr>
  </property>
  <property fmtid="{D5CDD505-2E9C-101B-9397-08002B2CF9AE}" pid="13" name="Mendeley Recent Style Id 5_1">
    <vt:lpwstr>http://www.zotero.org/styles/harvard1</vt:lpwstr>
  </property>
  <property fmtid="{D5CDD505-2E9C-101B-9397-08002B2CF9AE}" pid="14" name="Mendeley Recent Style Id 6_1">
    <vt:lpwstr>http://www.zotero.org/styles/ieee</vt:lpwstr>
  </property>
  <property fmtid="{D5CDD505-2E9C-101B-9397-08002B2CF9AE}" pid="15" name="Mendeley Recent Style Id 7_1">
    <vt:lpwstr>http://www.zotero.org/styles/journal-of-management-information-systems</vt:lpwstr>
  </property>
  <property fmtid="{D5CDD505-2E9C-101B-9397-08002B2CF9AE}" pid="16" name="Mendeley Recent Style Id 8_1">
    <vt:lpwstr>http://www.zotero.org/styles/mhra</vt:lpwstr>
  </property>
  <property fmtid="{D5CDD505-2E9C-101B-9397-08002B2CF9AE}" pid="17" name="Mendeley Recent Style Id 9_1">
    <vt:lpwstr>http://www.zotero.org/styles/mla</vt:lpwstr>
  </property>
  <property fmtid="{D5CDD505-2E9C-101B-9397-08002B2CF9AE}" pid="18" name="Mendeley Recent Style Name 0_1">
    <vt:lpwstr>Academy of Management Journal</vt:lpwstr>
  </property>
  <property fmtid="{D5CDD505-2E9C-101B-9397-08002B2CF9AE}" pid="19" name="Mendeley Recent Style Name 1_1">
    <vt:lpwstr>American Psychological Association 6th Edition</vt:lpwstr>
  </property>
  <property fmtid="{D5CDD505-2E9C-101B-9397-08002B2CF9AE}" pid="20" name="Mendeley Recent Style Name 2_1">
    <vt:lpwstr>American Sociological Association</vt:lpwstr>
  </property>
  <property fmtid="{D5CDD505-2E9C-101B-9397-08002B2CF9AE}" pid="21" name="Mendeley Recent Style Name 3_1">
    <vt:lpwstr>Chicago Manual of Style (author-date)</vt:lpwstr>
  </property>
  <property fmtid="{D5CDD505-2E9C-101B-9397-08002B2CF9AE}" pid="22" name="Mendeley Recent Style Name 4_1">
    <vt:lpwstr>Chicago Manual of Style (author-date, German)</vt:lpwstr>
  </property>
  <property fmtid="{D5CDD505-2E9C-101B-9397-08002B2CF9AE}" pid="23" name="Mendeley Recent Style Name 5_1">
    <vt:lpwstr>Harvard Reference format 1 (author-date)</vt:lpwstr>
  </property>
  <property fmtid="{D5CDD505-2E9C-101B-9397-08002B2CF9AE}" pid="24" name="Mendeley Recent Style Name 6_1">
    <vt:lpwstr>IEEE</vt:lpwstr>
  </property>
  <property fmtid="{D5CDD505-2E9C-101B-9397-08002B2CF9AE}" pid="25" name="Mendeley Recent Style Name 7_1">
    <vt:lpwstr>Journal of Management Information Systems</vt:lpwstr>
  </property>
  <property fmtid="{D5CDD505-2E9C-101B-9397-08002B2CF9AE}" pid="26" name="Mendeley Recent Style Name 8_1">
    <vt:lpwstr>Modern Humanities Research Association (note with bibliography)</vt:lpwstr>
  </property>
  <property fmtid="{D5CDD505-2E9C-101B-9397-08002B2CF9AE}" pid="27" name="Mendeley Recent Style Name 9_1">
    <vt:lpwstr>Modern Language Association</vt:lpwstr>
  </property>
  <property fmtid="{D5CDD505-2E9C-101B-9397-08002B2CF9AE}" pid="28" name="Mendeley User Name_1">
    <vt:lpwstr>thomas.sammer@gmail.com@www.mendeley.com</vt:lpwstr>
  </property>
  <property fmtid="{D5CDD505-2E9C-101B-9397-08002B2CF9AE}" pid="29" name="ScaleCrop">
    <vt:bool>0</vt:bool>
  </property>
  <property fmtid="{D5CDD505-2E9C-101B-9397-08002B2CF9AE}" pid="30" name="ShareDoc">
    <vt:bool>0</vt:bool>
  </property>
  <property fmtid="{D5CDD505-2E9C-101B-9397-08002B2CF9AE}" pid="31" name="ZOTERO_BREF_0Rm3kuj1DwOO_1">
    <vt:lpwstr>ZOTERO_ITEM CSL_CITATION {"citationID":"wJoQoDrG","properties":{"formattedCitation":"(Rosenhead, 2006, p. 761)","plainCitation":"(Rosenhead, 2006, p. 761)"},"citationItems":[{"id":16635,"uris":["http://zotero.org/users/10578/items/MVKEFZUM"],"uri":["http:</vt:lpwstr>
  </property>
  <property fmtid="{D5CDD505-2E9C-101B-9397-08002B2CF9AE}" pid="32" name="ZOTERO_BREF_0Rm3kuj1DwOO_2">
    <vt:lpwstr>//zotero.org/users/10578/items/MVKEFZUM"],"itemData":{"id":16635,"type":"article-journal","title":"Past, Present and Future of Problem Structuring Methods","container-title":"The Journal of the Operational Research Society","page":"759-765","volume":"57",</vt:lpwstr>
  </property>
  <property fmtid="{D5CDD505-2E9C-101B-9397-08002B2CF9AE}" pid="33" name="ZOTERO_BREF_0Rm3kuj1DwOO_3">
    <vt:lpwstr>"issue":"7","source":"JSTOR","abstract":"To be able to exploit the future opportunities for Operational Research (OR), we need to prepare for them now. To conceptualize alternative futures for OR, we need to understand the potentialities of the present. T</vt:lpwstr>
  </property>
  <property fmtid="{D5CDD505-2E9C-101B-9397-08002B2CF9AE}" pid="34" name="ZOTERO_BREF_0Rm3kuj1DwOO_4">
    <vt:lpwstr>o understand the present, we need to have a grasp of the past history that gave us the OR that we have, rather than some other analytic practice. OR was thrown up by a situation where traditional management methods were proving inadequate to handle the gr</vt:lpwstr>
  </property>
  <property fmtid="{D5CDD505-2E9C-101B-9397-08002B2CF9AE}" pid="35" name="ZOTERO_BREF_0Rm3kuj1DwOO_5">
    <vt:lpwstr>owing complexity of organizational arrangements. Problem structuring methods (PSMs) in turn were generated out of a sense that the trajectory of OR had led it away from important areas of social decision-making. PSMs have made great strides but are still </vt:lpwstr>
  </property>
  <property fmtid="{D5CDD505-2E9C-101B-9397-08002B2CF9AE}" pid="36" name="ZOTERO_BREF_0Rm3kuj1DwOO_6">
    <vt:lpwstr>encountering barriers to acceptance. This paper will explore the factors that presently constrain PSMs, and what developments could take them into new fields.","URL":"http://dx.doi.org/10.1057/palgrave.jors.2602206","DOI":"10.1057/palgrave.jors.2602206","</vt:lpwstr>
  </property>
  <property fmtid="{D5CDD505-2E9C-101B-9397-08002B2CF9AE}" pid="37" name="ZOTERO_BREF_0Rm3kuj1DwOO_7">
    <vt:lpwstr>ISSN":"0160-5682","journalAbbreviation":"The Journal of the Operational Research Society","author":[{"family":"Rosenhead","given":"Jonathan"}],"issued":{"date-parts":[["2006"]]},"accessed":{"date-parts":[["2016",9,26]]}},"locator":"761","label":"page"}],"</vt:lpwstr>
  </property>
  <property fmtid="{D5CDD505-2E9C-101B-9397-08002B2CF9AE}" pid="38" name="ZOTERO_BREF_0Rm3kuj1DwOO_8">
    <vt:lpwstr>schema":"https://github.com/citation-style-language/schema/raw/master/csl-citation.json"}</vt:lpwstr>
  </property>
  <property fmtid="{D5CDD505-2E9C-101B-9397-08002B2CF9AE}" pid="39" name="ZOTERO_BREF_0TIDmiMIoBLI_1">
    <vt:lpwstr>ZOTERO_ITEM CSL_CITATION {"citationID":"bvdgnuVU","properties":{"formattedCitation":"(Ingold, 2000b, p. 195)","plainCitation":"(Ingold, 2000b, p. 195)"},"citationItems":[{"id":16352,"uris":["http://zotero.org/users/10578/items/U3B5US3M"],"uri":["http://zo</vt:lpwstr>
  </property>
  <property fmtid="{D5CDD505-2E9C-101B-9397-08002B2CF9AE}" pid="40" name="ZOTERO_BREF_0TIDmiMIoBLI_2">
    <vt:lpwstr>tero.org/users/10578/items/U3B5US3M"],"itemData":{"id":16352,"type":"chapter","title":"The temporality of the landscape","container-title":"The Perception of the Environment: Essays on Livelihood, Dwelling and Skill","publisher":"Routledge","page":"189-20</vt:lpwstr>
  </property>
  <property fmtid="{D5CDD505-2E9C-101B-9397-08002B2CF9AE}" pid="41" name="ZOTERO_BREF_0TIDmiMIoBLI_3">
    <vt:lpwstr>8","source":"Google Books","abstract":"In this work Tim Ingold offers a persuasive approach to understanding how human beings perceive their surroundings. He argues that what we are used to calling cultural variation consists, in the first place, of varia</vt:lpwstr>
  </property>
  <property fmtid="{D5CDD505-2E9C-101B-9397-08002B2CF9AE}" pid="42" name="ZOTERO_BREF_0TIDmiMIoBLI_4">
    <vt:lpwstr>tions in skill. Neither innate nor acquired, skills are grown, incorporated into the human organism through practice and training in an environment. They are thus as much biological as cultural. The twenty-three essays comprising this book focus in turn o</vt:lpwstr>
  </property>
  <property fmtid="{D5CDD505-2E9C-101B-9397-08002B2CF9AE}" pid="43" name="ZOTERO_BREF_0TIDmiMIoBLI_5">
    <vt:lpwstr>n the procurement of livelihood, on what it means to 'dwell', and on the nature of skill, weaving together approaches from social anthropology, ecological psychology, developmental biology and phenomenology in a way that has never been attempted before. T</vt:lpwstr>
  </property>
  <property fmtid="{D5CDD505-2E9C-101B-9397-08002B2CF9AE}" pid="44" name="ZOTERO_BREF_0TIDmiMIoBLI_6">
    <vt:lpwstr>he book is set to revolutionise the way we think about what is 'biological' and 'cultural' in humans, about evolution and history, and indeed about what it means for human beings - at once organisms and persons - to inhabit an environment. The Perception </vt:lpwstr>
  </property>
  <property fmtid="{D5CDD505-2E9C-101B-9397-08002B2CF9AE}" pid="45" name="ZOTERO_BREF_0TIDmiMIoBLI_7">
    <vt:lpwstr>of the Environment will be essential reading not only for anthropologists but also for biologists, psychologists, archaeologists, geographers and philosophers.","URL":"https://books.google.com/books?id=_4p-UhXZV70C","ISBN":"978-0-415-22832-9","language":"</vt:lpwstr>
  </property>
  <property fmtid="{D5CDD505-2E9C-101B-9397-08002B2CF9AE}" pid="46" name="ZOTERO_BREF_0TIDmiMIoBLI_8">
    <vt:lpwstr>en","author":[{"family":"Ingold","given":"Tim"}],"issued":{"date-parts":[["2000"]]}},"locator":"195","label":"page"}],"schema":"https://github.com/citation-style-language/schema/raw/master/csl-citation.json"}</vt:lpwstr>
  </property>
  <property fmtid="{D5CDD505-2E9C-101B-9397-08002B2CF9AE}" pid="47" name="ZOTERO_BREF_0xgZqGsQd5yS_1">
    <vt:lpwstr>ZOTERO_ITEM CSL_CITATION {"citationID":"M0kK2NaX","properties":{"formattedCitation":"(North, 2006)","plainCitation":"(North, 2006)"},"citationItems":[{"id":16609,"uris":["http://zotero.org/users/10578/items/QK42E3MR"],"uri":["http://zotero.org/users/10578</vt:lpwstr>
  </property>
  <property fmtid="{D5CDD505-2E9C-101B-9397-08002B2CF9AE}" pid="48" name="ZOTERO_BREF_0xgZqGsQd5yS_2">
    <vt:lpwstr>/items/QK42E3MR"],"itemData":{"id":16609,"type":"article-magazine","title":"Introducing BDD","container-title":"Better Software","URL":"https://dannorth.net/introducing-bdd/","author":[{"family":"North","given":"Dan"}],"issued":{"date-parts":[["2006",3]]}</vt:lpwstr>
  </property>
  <property fmtid="{D5CDD505-2E9C-101B-9397-08002B2CF9AE}" pid="49" name="ZOTERO_BREF_0xgZqGsQd5yS_3">
    <vt:lpwstr>}}],"schema":"https://github.com/citation-style-language/schema/raw/master/csl-citation.json"}</vt:lpwstr>
  </property>
  <property fmtid="{D5CDD505-2E9C-101B-9397-08002B2CF9AE}" pid="50" name="ZOTERO_BREF_1HOHSvUfV4kh_1">
    <vt:lpwstr>ZOTERO_ITEM CSL_CITATION {"citationID":"qPv7yupm","properties":{"formattedCitation":"{\\rtf (Alexander, 1979, pp. 285\\uc0\\u8211{}286)}","plainCitation":"(Alexander, 1979, pp. 285–286)"},"citationItems":[{"id":1391,"uris":["http://zotero.org/users/10578/</vt:lpwstr>
  </property>
  <property fmtid="{D5CDD505-2E9C-101B-9397-08002B2CF9AE}" pid="51" name="ZOTERO_BREF_1HOHSvUfV4kh_2">
    <vt:lpwstr>items/TE8TRH3R"],"uri":["http://zotero.org/users/10578/items/TE8TRH3R"],"itemData":{"id":1391,"type":"book","title":"The Timeless Way of Building","publisher":"Oxford University Press","number-of-pages":"586","source":"Google Books","abstract":"The theory</vt:lpwstr>
  </property>
  <property fmtid="{D5CDD505-2E9C-101B-9397-08002B2CF9AE}" pid="52" name="ZOTERO_BREF_1HOHSvUfV4kh_3">
    <vt:lpwstr> of architecture implicit in our world today, Christopher Alexander believes, is bankrupt. More and more people are aware that something is deeply wrong. Yet the power of present-day ideas is so great that many feel uncomfortable, even afraid, to say open</vt:lpwstr>
  </property>
  <property fmtid="{D5CDD505-2E9C-101B-9397-08002B2CF9AE}" pid="53" name="ZOTERO_BREF_1HOHSvUfV4kh_4">
    <vt:lpwstr>ly that they dislike what is happening, because they are afraid to seem foolish, afraid perhaps that they will be laughed at.  Now, at last, there is a coherent theory which describes in modern terms an architecture as ancient as human society itself.  Th</vt:lpwstr>
  </property>
  <property fmtid="{D5CDD505-2E9C-101B-9397-08002B2CF9AE}" pid="54" name="ZOTERO_BREF_1HOHSvUfV4kh_5">
    <vt:lpwstr>e Timeless Way of Buildingis the introductory volume in the Center for Environmental Structure series, Christopher Alexander presents in it a new theory of architecture, building, and planning which has at its core that age-old process by which the people</vt:lpwstr>
  </property>
  <property fmtid="{D5CDD505-2E9C-101B-9397-08002B2CF9AE}" pid="55" name="ZOTERO_BREF_1HOHSvUfV4kh_6">
    <vt:lpwstr> of a society have always pulled the order of their world from their own being.  Alexander writes, \"There is one timeless way of building. It is thousands of years old, and the same today as it has always been. The great traditional buildings of the past</vt:lpwstr>
  </property>
  <property fmtid="{D5CDD505-2E9C-101B-9397-08002B2CF9AE}" pid="56" name="ZOTERO_BREF_1HOHSvUfV4kh_7">
    <vt:lpwstr>, the villages and tents and temples in which man feels at home, have always been made by people who were very close to the center of this way. And as you will see, this way will lead anyone who looks for it to buildings which are themselves as ancient in</vt:lpwstr>
  </property>
  <property fmtid="{D5CDD505-2E9C-101B-9397-08002B2CF9AE}" pid="57" name="ZOTERO_BREF_1HOHSvUfV4kh_8">
    <vt:lpwstr> their form as the trees and hills, and as our faces are.\"","URL":"http://books.google.ca/books?id=H6CE9hlbO8sC","ISBN":"978-0-19-502402-9","language":"en","author":[{"family":"Alexander","given":"Christopher"}],"issued":{"date-parts":[["1979"]]}},"locat</vt:lpwstr>
  </property>
  <property fmtid="{D5CDD505-2E9C-101B-9397-08002B2CF9AE}" pid="58" name="ZOTERO_BREF_1HOHSvUfV4kh_9">
    <vt:lpwstr>or":"285-286","label":"page"}],"schema":"https://github.com/citation-style-language/schema/raw/master/csl-citation.json"}</vt:lpwstr>
  </property>
  <property fmtid="{D5CDD505-2E9C-101B-9397-08002B2CF9AE}" pid="59" name="ZOTERO_BREF_1PFAi7oSP0nr_1">
    <vt:lpwstr>ZOTERO_ITEM CSL_CITATION {"citationID":"HtOQzyF9","properties":{"formattedCitation":"(Ackermann &amp; Eden, 2010)","plainCitation":"(Ackermann &amp; Eden, 2010)"},"citationItems":[{"id":16634,"uris":["http://zotero.org/users/10578/items/XCMVMFP8"],"uri":["http://</vt:lpwstr>
  </property>
  <property fmtid="{D5CDD505-2E9C-101B-9397-08002B2CF9AE}" pid="60" name="ZOTERO_BREF_1PFAi7oSP0nr_2">
    <vt:lpwstr>zotero.org/users/10578/items/XCMVMFP8"],"itemData":{"id":16634,"type":"chapter","title":"Strategic Options Development and Analysis","container-title":"Systems Approaches to Managing Change: A Practical Guide","publisher":"Springer London","publisher-plac</vt:lpwstr>
  </property>
  <property fmtid="{D5CDD505-2E9C-101B-9397-08002B2CF9AE}" pid="61" name="ZOTERO_BREF_1PFAi7oSP0nr_3">
    <vt:lpwstr>e":"London","page":"135-190","source":"CrossRef","event-place":"London","URL":"http://dx.doi.org/10.1007/978-1-84882-809-4_4","ISBN":"978-1-84882-808-7","language":"en","editor":[{"family":"Reynolds","given":"Martin"},{"family":"Holwell","given":"Sue"}],"</vt:lpwstr>
  </property>
  <property fmtid="{D5CDD505-2E9C-101B-9397-08002B2CF9AE}" pid="62" name="ZOTERO_BREF_1PFAi7oSP0nr_4">
    <vt:lpwstr>author":[{"family":"Ackermann","given":"Fran"},{"family":"Eden","given":"Colin"}],"issued":{"date-parts":[["2010"]]},"accessed":{"date-parts":[["2016",9,26]]}}}],"schema":"https://github.com/citation-style-language/schema/raw/master/csl-citation.json"}</vt:lpwstr>
  </property>
  <property fmtid="{D5CDD505-2E9C-101B-9397-08002B2CF9AE}" pid="63" name="ZOTERO_BREF_1j48LOHeTJFy_1">
    <vt:lpwstr/>
  </property>
  <property fmtid="{D5CDD505-2E9C-101B-9397-08002B2CF9AE}" pid="64" name="ZOTERO_BREF_1n3HeVEpNWnT_1">
    <vt:lpwstr>ZOTERO_ITEM CSL_CITATION {"citationID":"MbRn4WYh","properties":{"formattedCitation":"{\\rtf (Alexander, 1979, pp. 285\\uc0\\u8211{}286)}","plainCitation":"(Alexander, 1979, pp. 285–286)"},"citationItems":[{"id":1391,"uris":["http://zotero.org/users/10578/</vt:lpwstr>
  </property>
  <property fmtid="{D5CDD505-2E9C-101B-9397-08002B2CF9AE}" pid="65" name="ZOTERO_BREF_1n3HeVEpNWnT_2">
    <vt:lpwstr>items/TE8TRH3R"],"uri":["http://zotero.org/users/10578/items/TE8TRH3R"],"itemData":{"id":1391,"type":"book","title":"The Timeless Way of Building","publisher":"Oxford University Press","number-of-pages":"586","source":"Google Books","abstract":"The theory</vt:lpwstr>
  </property>
  <property fmtid="{D5CDD505-2E9C-101B-9397-08002B2CF9AE}" pid="66" name="ZOTERO_BREF_1n3HeVEpNWnT_3">
    <vt:lpwstr> of architecture implicit in our world today, Christopher Alexander believes, is bankrupt. More and more people are aware that something is deeply wrong. Yet the power of present-day ideas is so great that many feel uncomfortable, even afraid, to say open</vt:lpwstr>
  </property>
  <property fmtid="{D5CDD505-2E9C-101B-9397-08002B2CF9AE}" pid="67" name="ZOTERO_BREF_1n3HeVEpNWnT_4">
    <vt:lpwstr>ly that they dislike what is happening, because they are afraid to seem foolish, afraid perhaps that they will be laughed at.  Now, at last, there is a coherent theory which describes in modern terms an architecture as ancient as human society itself.  Th</vt:lpwstr>
  </property>
  <property fmtid="{D5CDD505-2E9C-101B-9397-08002B2CF9AE}" pid="68" name="ZOTERO_BREF_1n3HeVEpNWnT_5">
    <vt:lpwstr>e Timeless Way of Buildingis the introductory volume in the Center for Environmental Structure series, Christopher Alexander presents in it a new theory of architecture, building, and planning which has at its core that age-old process by which the people</vt:lpwstr>
  </property>
  <property fmtid="{D5CDD505-2E9C-101B-9397-08002B2CF9AE}" pid="69" name="ZOTERO_BREF_1n3HeVEpNWnT_6">
    <vt:lpwstr> of a society have always pulled the order of their world from their own being.  Alexander writes, \"There is one timeless way of building. It is thousands of years old, and the same today as it has always been. The great traditional buildings of the past</vt:lpwstr>
  </property>
  <property fmtid="{D5CDD505-2E9C-101B-9397-08002B2CF9AE}" pid="70" name="ZOTERO_BREF_1n3HeVEpNWnT_7">
    <vt:lpwstr>, the villages and tents and temples in which man feels at home, have always been made by people who were very close to the center of this way. And as you will see, this way will lead anyone who looks for it to buildings which are themselves as ancient in</vt:lpwstr>
  </property>
  <property fmtid="{D5CDD505-2E9C-101B-9397-08002B2CF9AE}" pid="71" name="ZOTERO_BREF_1n3HeVEpNWnT_8">
    <vt:lpwstr> their form as the trees and hills, and as our faces are.\"","URL":"http://books.google.ca/books?id=H6CE9hlbO8sC","ISBN":"978-0-19-502402-9","language":"en","author":[{"family":"Alexander","given":"Christopher"}],"issued":{"date-parts":[["1979"]]}},"locat</vt:lpwstr>
  </property>
  <property fmtid="{D5CDD505-2E9C-101B-9397-08002B2CF9AE}" pid="72" name="ZOTERO_BREF_1n3HeVEpNWnT_9">
    <vt:lpwstr>or":"285-286","label":"page"}],"schema":"https://github.com/citation-style-language/schema/raw/master/csl-citation.json"}</vt:lpwstr>
  </property>
  <property fmtid="{D5CDD505-2E9C-101B-9397-08002B2CF9AE}" pid="73" name="ZOTERO_BREF_3Fvuqg7dcAOz_1">
    <vt:lpwstr>ZOTERO_ITEM CSL_CITATION {"citationID":"ktpGGfqz","properties":{"formattedCitation":"(Aligica, 2011)","plainCitation":"(Aligica, 2011)"},"citationItems":[{"id":16591,"uris":["http://zotero.org/users/10578/items/9KTVES3A"],"uri":["http://zotero.org/users/1</vt:lpwstr>
  </property>
  <property fmtid="{D5CDD505-2E9C-101B-9397-08002B2CF9AE}" pid="74" name="ZOTERO_BREF_3Fvuqg7dcAOz_2">
    <vt:lpwstr>0578/items/9KTVES3A"],"itemData":{"id":16591,"type":"article-journal","title":"A critical realist image of the future Wendell Bell's contribution to the foundations of futures studies","container-title":"Futures","page":"610-617","volume":"43","issue":"6"</vt:lpwstr>
  </property>
  <property fmtid="{D5CDD505-2E9C-101B-9397-08002B2CF9AE}" pid="75" name="ZOTERO_BREF_3Fvuqg7dcAOz_3">
    <vt:lpwstr>,"source":"CrossRef","URL":"http://dx.doi.org/10.1016/j.futures.2011.04.011","DOI":"10.1016/j.futures.2011.04.011","ISSN":"00163287","language":"en","author":[{"family":"Aligica","given":"Paul Dragos"}],"issued":{"date-parts":[["2011"]]},"accessed":{"date</vt:lpwstr>
  </property>
  <property fmtid="{D5CDD505-2E9C-101B-9397-08002B2CF9AE}" pid="76" name="ZOTERO_BREF_3Fvuqg7dcAOz_4">
    <vt:lpwstr>-parts":[["2016",9,8]]}}}],"schema":"https://github.com/citation-style-language/schema/raw/master/csl-citation.json"}</vt:lpwstr>
  </property>
  <property fmtid="{D5CDD505-2E9C-101B-9397-08002B2CF9AE}" pid="77" name="ZOTERO_BREF_3I95ztDmo4Xq_1">
    <vt:lpwstr>ZOTERO_ITEM CSL_CITATION {"citationID":"S2hyScEJ","properties":{"formattedCitation":"{\\rtf (Ackoff, 1981, pp. 16\\uc0\\u8211{}17)}","plainCitation":"(Ackoff, 1981, pp. 16–17)"},"citationItems":[{"id":16293,"uris":["http://zotero.org/users/10578/items/TX4</vt:lpwstr>
  </property>
  <property fmtid="{D5CDD505-2E9C-101B-9397-08002B2CF9AE}" pid="78" name="ZOTERO_BREF_3I95ztDmo4Xq_2">
    <vt:lpwstr>7HZSZ"],"uri":["http://zotero.org/users/10578/items/TX47HZSZ"],"itemData":{"id":16293,"type":"book","title":"Creating the Corporate Future: Plan or Be Planned For","publisher":"John Wiley and Sons","publisher-place":"New York","source":"Google Books","eve</vt:lpwstr>
  </property>
  <property fmtid="{D5CDD505-2E9C-101B-9397-08002B2CF9AE}" pid="79" name="ZOTERO_BREF_3I95ztDmo4Xq_3">
    <vt:lpwstr>nt-place":"New York","URL":"http://books.google.com/books?id=8EEO2L4cApsC","ISBN":"0-471-09009-3","author":[{"family":"Ackoff","given":"Russell L."}],"issued":{"date-parts":[["1981"]]}},"locator":"16-17","label":"page"}],"schema":"https://github.com/citat</vt:lpwstr>
  </property>
  <property fmtid="{D5CDD505-2E9C-101B-9397-08002B2CF9AE}" pid="80" name="ZOTERO_BREF_3I95ztDmo4Xq_4">
    <vt:lpwstr>ion-style-language/schema/raw/master/csl-citation.json"}</vt:lpwstr>
  </property>
  <property fmtid="{D5CDD505-2E9C-101B-9397-08002B2CF9AE}" pid="81" name="ZOTERO_BREF_3viD5tAnspuj_1">
    <vt:lpwstr>ZOTERO_ITEM CSL_CITATION {"citationID":"jRPpsoJG","properties":{"formattedCitation":"(Cameron, 2002, p. 74)","plainCitation":"(Cameron, 2002, p. 74)"},"citationItems":[{"id":1004,"uris":["http://zotero.org/users/10578/items/9V22CSG7"],"uri":["http://zoter</vt:lpwstr>
  </property>
  <property fmtid="{D5CDD505-2E9C-101B-9397-08002B2CF9AE}" pid="82" name="ZOTERO_BREF_3viD5tAnspuj_2">
    <vt:lpwstr>o.org/users/10578/items/9V22CSG7"],"itemData":{"id":1004,"type":"article-journal","title":"Configurable development processes","container-title":"Communications of the ACM","page":"72–77","volume":"45","source":"ACM Digital Library","abstract":"Keeping th</vt:lpwstr>
  </property>
  <property fmtid="{D5CDD505-2E9C-101B-9397-08002B2CF9AE}" pid="83" name="ZOTERO_BREF_3viD5tAnspuj_3">
    <vt:lpwstr>e focus on what is being produced.","URL":"http://dx.doi.org/10.1145/504729.504731","DOI":"10.1145/504729.504731","ISSN":"0001-0782","note":"ACM ID: 504731","author":[{"family":"Cameron","given":"John"}],"issued":{"date-parts":[["2002",3]]},"accessed":{"d</vt:lpwstr>
  </property>
  <property fmtid="{D5CDD505-2E9C-101B-9397-08002B2CF9AE}" pid="84" name="ZOTERO_BREF_3viD5tAnspuj_4">
    <vt:lpwstr>ate-parts":[["2011",2,2]]}},"locator":"74","label":"page"}],"schema":"https://github.com/citation-style-language/schema/raw/master/csl-citation.json"}</vt:lpwstr>
  </property>
  <property fmtid="{D5CDD505-2E9C-101B-9397-08002B2CF9AE}" pid="85" name="ZOTERO_BREF_4Bcl5KfVpbTa_1">
    <vt:lpwstr>ZOTERO_ITEM CSL_CITATION {"citationID":"XtgWDntU","properties":{"formattedCitation":"(Schermer, 2015)","plainCitation":"(Schermer, 2015)"},"citationItems":[{"id":16443,"uris":["http://zotero.org/users/10578/items/QRBGM3U4"],"uri":["http://zotero.org/users</vt:lpwstr>
  </property>
  <property fmtid="{D5CDD505-2E9C-101B-9397-08002B2CF9AE}" pid="86" name="ZOTERO_BREF_4Bcl5KfVpbTa_2">
    <vt:lpwstr>/10578/items/QRBGM3U4"],"itemData":{"id":16443,"type":"paper-conference","title":"The Program as Problem: Origins and Impact of CRS’s Problem Seeking","container-title":"103rd ACSA Annual Meeting Proceedings, The Expanding Periphery and the Migrating Cent</vt:lpwstr>
  </property>
  <property fmtid="{D5CDD505-2E9C-101B-9397-08002B2CF9AE}" pid="87" name="ZOTERO_BREF_4Bcl5KfVpbTa_3">
    <vt:lpwstr>er","publisher":"Association of Collegiate Schools of Architecture","publisher-place":"Toronto, Ontario","page":"622-630","event-place":"Toronto, Ontario","URL":"http://apps.acsa-arch.org/resources/proceedings/uploads/streamfile.aspx?path=ACSA.AM.103&amp;name</vt:lpwstr>
  </property>
  <property fmtid="{D5CDD505-2E9C-101B-9397-08002B2CF9AE}" pid="88" name="ZOTERO_BREF_4Bcl5KfVpbTa_4">
    <vt:lpwstr>=ACSA.AM.103.75.pdf","author":[{"family":"Schermer","given":"Brian"}],"editor":[{"family":"Sheppard","given":"Lola"},{"family":"Ruy","given":"David"}],"issued":{"date-parts":[["2015"]]}}}],"schema":"https://github.com/citation-style-language/schema/raw/ma</vt:lpwstr>
  </property>
  <property fmtid="{D5CDD505-2E9C-101B-9397-08002B2CF9AE}" pid="89" name="ZOTERO_BREF_4Bcl5KfVpbTa_5">
    <vt:lpwstr>ster/csl-citation.json"}</vt:lpwstr>
  </property>
  <property fmtid="{D5CDD505-2E9C-101B-9397-08002B2CF9AE}" pid="90" name="ZOTERO_BREF_4ldNzA5cptPy_1">
    <vt:lpwstr>ZOTERO_ITEM CSL_CITATION {"citationID":"NdzprCIS","properties":{"formattedCitation":"(Quillien, 2008, p. 85)","plainCitation":"(Quillien, 2008, p. 85)"},"citationItems":[{"id":16615,"uris":["http://zotero.org/users/10578/items/HUVCQNAU"],"uri":["http://zo</vt:lpwstr>
  </property>
  <property fmtid="{D5CDD505-2E9C-101B-9397-08002B2CF9AE}" pid="91" name="ZOTERO_BREF_4ldNzA5cptPy_2">
    <vt:lpwstr>tero.org/users/10578/items/HUVCQNAU"],"itemData":{"id":16615,"type":"chapter","title":"On Belonging and Phenomenology","container-title":"Delight's Muse on Christopher Alexander's the Nature of Order: A Summary and Personal Interpretation","publisher":"Cu</vt:lpwstr>
  </property>
  <property fmtid="{D5CDD505-2E9C-101B-9397-08002B2CF9AE}" pid="92" name="ZOTERO_BREF_4ldNzA5cptPy_3">
    <vt:lpwstr>licidae Architectural Press","publisher-place":"Ames, Iowa","page":"85","source":"Google Books","event-place":"Ames, Iowa","abstract":"Delight's Muse is a blessedly short, accessible, and thoughtfully illustrated summary of Christopher Alexander's four vo</vt:lpwstr>
  </property>
  <property fmtid="{D5CDD505-2E9C-101B-9397-08002B2CF9AE}" pid="93" name="ZOTERO_BREF_4ldNzA5cptPy_4">
    <vt:lpwstr>lume work, The Nature of Order. It rescues readers from the massive effort required to navigate Alexander's 2000-page labyrinth without map or compass. Delight's Muse will interest not only fans of Alexander's earlier books (the best known being A Pattern</vt:lpwstr>
  </property>
  <property fmtid="{D5CDD505-2E9C-101B-9397-08002B2CF9AE}" pid="94" name="ZOTERO_BREF_4ldNzA5cptPy_5">
    <vt:lpwstr> Language from 1977, and The Timeless Way of Building from 1979) but everyone willing to entertain a fresh and stimulating way to observe the world and the variety of things we place in it.","URL":"http://www.lulu.com/shop/jenny-quillien/delights-muse-on-</vt:lpwstr>
  </property>
  <property fmtid="{D5CDD505-2E9C-101B-9397-08002B2CF9AE}" pid="95" name="ZOTERO_BREF_4ldNzA5cptPy_6">
    <vt:lpwstr>christopher-alexanders-the-nature-of-order-a-summary-and-personal-interpretation/paperback/product-13220369.html","ISBN":"978-1-4303-1317-5","note":"Google-Books-ID: FmY0nwEACAAJ","language":"en","author":[{"family":"Quillien","given":"Jenny"}],"issued":{</vt:lpwstr>
  </property>
  <property fmtid="{D5CDD505-2E9C-101B-9397-08002B2CF9AE}" pid="96" name="ZOTERO_BREF_4ldNzA5cptPy_7">
    <vt:lpwstr>"date-parts":[["2008"]]}},"locator":"85","label":"page"}],"schema":"https://github.com/citation-style-language/schema/raw/master/csl-citation.json"}</vt:lpwstr>
  </property>
  <property fmtid="{D5CDD505-2E9C-101B-9397-08002B2CF9AE}" pid="97" name="ZOTERO_BREF_5NaSf0o8UFeA_1">
    <vt:lpwstr>ZOTERO_ITEM CSL_CITATION {"citationID":"VaAln3WP","properties":{"formattedCitation":"(Rittel, 1980, p. 12)","plainCitation":"(Rittel, 1980, p. 12)"},"citationItems":[{"id":16592,"uris":["http://zotero.org/users/10578/items/8DSKMR4B"],"uri":["http://zotero</vt:lpwstr>
  </property>
  <property fmtid="{D5CDD505-2E9C-101B-9397-08002B2CF9AE}" pid="98" name="ZOTERO_BREF_5NaSf0o8UFeA_2">
    <vt:lpwstr>.org/users/10578/items/8DSKMR4B"],"itemData":{"id":16592,"type":"book","title":"APIS, a Concept for an Argumentative Planning Information System","publisher":"Institute of Urban &amp; Regional Development, University of California, Berkeley","volume":"324","s</vt:lpwstr>
  </property>
  <property fmtid="{D5CDD505-2E9C-101B-9397-08002B2CF9AE}" pid="99" name="ZOTERO_BREF_5NaSf0o8UFeA_3">
    <vt:lpwstr>ource":"Google Scholar","author":[{"family":"Rittel","given":"Horst WJ"}],"issued":{"date-parts":[["1980"]]}},"locator":"12","label":"page"}],"schema":"https://github.com/citation-style-language/schema/raw/master/csl-citation.json"}</vt:lpwstr>
  </property>
  <property fmtid="{D5CDD505-2E9C-101B-9397-08002B2CF9AE}" pid="100" name="ZOTERO_BREF_5W4rJb2oKRHe_1">
    <vt:lpwstr>ZOTERO_ITEM CSL_CITATION {"citationID":"wmRq6xUu","properties":{"formattedCitation":"(Alexander, Ishikawa, &amp; Silverstein, 1968, p. 15)","plainCitation":"(Alexander, Ishikawa, &amp; Silverstein, 1968, p. 15)"},"citationItems":[{"id":1808,"uris":["http://zotero</vt:lpwstr>
  </property>
  <property fmtid="{D5CDD505-2E9C-101B-9397-08002B2CF9AE}" pid="101" name="ZOTERO_BREF_5W4rJb2oKRHe_2">
    <vt:lpwstr>.org/users/10578/items/Q37EGESQ"],"uri":["http://zotero.org/users/10578/items/Q37EGESQ"],"itemData":{"id":1808,"type":"book","title":"A Pattern Language which Generates Multi-service Centers","publisher":"Center for Environmental Structure","number-of-pag</vt:lpwstr>
  </property>
  <property fmtid="{D5CDD505-2E9C-101B-9397-08002B2CF9AE}" pid="102" name="ZOTERO_BREF_5W4rJb2oKRHe_3">
    <vt:lpwstr>es":"306","source":"Google Books","URL":"http://books.google.ca/books?id=FGdPAAAAMAAJ","language":"en","author":[{"family":"Alexander","given":"Christopher"},{"family":"Ishikawa","given":"Sara"},{"family":"Silverstein","given":"Murray"}],"issued":{"date-p</vt:lpwstr>
  </property>
  <property fmtid="{D5CDD505-2E9C-101B-9397-08002B2CF9AE}" pid="103" name="ZOTERO_BREF_5W4rJb2oKRHe_4">
    <vt:lpwstr>arts":[["1968"]]}},"locator":"15","label":"page"}],"schema":"https://github.com/citation-style-language/schema/raw/master/csl-citation.json"}</vt:lpwstr>
  </property>
  <property fmtid="{D5CDD505-2E9C-101B-9397-08002B2CF9AE}" pid="104" name="ZOTERO_BREF_6ND1BrmtqBIA_1">
    <vt:lpwstr>ZOTERO_ITEM CSL_CITATION {"citationID":"nbGECSQI","properties":{"formattedCitation":"{\\rtf (Alexander, 1979, pp. 164\\uc0\\u8211{}165)}","plainCitation":"(Alexander, 1979, pp. 164–165)"},"citationItems":[{"id":1391,"uris":["http://zotero.org/users/10578/</vt:lpwstr>
  </property>
  <property fmtid="{D5CDD505-2E9C-101B-9397-08002B2CF9AE}" pid="105" name="ZOTERO_BREF_6ND1BrmtqBIA_2">
    <vt:lpwstr>items/TE8TRH3R"],"uri":["http://zotero.org/users/10578/items/TE8TRH3R"],"itemData":{"id":1391,"type":"book","title":"The Timeless Way of Building","publisher":"Oxford University Press","number-of-pages":"586","source":"Google Books","abstract":"The theory</vt:lpwstr>
  </property>
  <property fmtid="{D5CDD505-2E9C-101B-9397-08002B2CF9AE}" pid="106" name="ZOTERO_BREF_6ND1BrmtqBIA_3">
    <vt:lpwstr> of architecture implicit in our world today, Christopher Alexander believes, is bankrupt. More and more people are aware that something is deeply wrong. Yet the power of present-day ideas is so great that many feel uncomfortable, even afraid, to say open</vt:lpwstr>
  </property>
  <property fmtid="{D5CDD505-2E9C-101B-9397-08002B2CF9AE}" pid="107" name="ZOTERO_BREF_6ND1BrmtqBIA_4">
    <vt:lpwstr>ly that they dislike what is happening, because they are afraid to seem foolish, afraid perhaps that they will be laughed at.  Now, at last, there is a coherent theory which describes in modern terms an architecture as ancient as human society itself.  Th</vt:lpwstr>
  </property>
  <property fmtid="{D5CDD505-2E9C-101B-9397-08002B2CF9AE}" pid="108" name="ZOTERO_BREF_6ND1BrmtqBIA_5">
    <vt:lpwstr>e Timeless Way of Buildingis the introductory volume in the Center for Environmental Structure series, Christopher Alexander presents in it a new theory of architecture, building, and planning which has at its core that age-old process by which the people</vt:lpwstr>
  </property>
  <property fmtid="{D5CDD505-2E9C-101B-9397-08002B2CF9AE}" pid="109" name="ZOTERO_BREF_6ND1BrmtqBIA_6">
    <vt:lpwstr> of a society have always pulled the order of their world from their own being.  Alexander writes, \"There is one timeless way of building. It is thousands of years old, and the same today as it has always been. The great traditional buildings of the past</vt:lpwstr>
  </property>
  <property fmtid="{D5CDD505-2E9C-101B-9397-08002B2CF9AE}" pid="110" name="ZOTERO_BREF_6ND1BrmtqBIA_7">
    <vt:lpwstr>, the villages and tents and temples in which man feels at home, have always been made by people who were very close to the center of this way. And as you will see, this way will lead anyone who looks for it to buildings which are themselves as ancient in</vt:lpwstr>
  </property>
  <property fmtid="{D5CDD505-2E9C-101B-9397-08002B2CF9AE}" pid="111" name="ZOTERO_BREF_6ND1BrmtqBIA_8">
    <vt:lpwstr> their form as the trees and hills, and as our faces are.\"","URL":"http://books.google.ca/books?id=H6CE9hlbO8sC","ISBN":"978-0-19-502402-9","language":"en","author":[{"family":"Alexander","given":"Christopher"}],"issued":{"date-parts":[["1979"]]}},"locat</vt:lpwstr>
  </property>
  <property fmtid="{D5CDD505-2E9C-101B-9397-08002B2CF9AE}" pid="112" name="ZOTERO_BREF_6ND1BrmtqBIA_9">
    <vt:lpwstr>or":"164-165","label":"page"}],"schema":"https://github.com/citation-style-language/schema/raw/master/csl-citation.json"}</vt:lpwstr>
  </property>
  <property fmtid="{D5CDD505-2E9C-101B-9397-08002B2CF9AE}" pid="113" name="ZOTERO_BREF_6XZYgjwtnhZu_1">
    <vt:lpwstr>ZOTERO_ITEM CSL_CITATION {"citationID":"mUbN3m7b","properties":{"formattedCitation":"{\\rtf (Erickson, 2000, pp. 362\\uc0\\u8211{}363)}","plainCitation":"(Erickson, 2000, pp. 362–363)"},"citationItems":[{"id":16621,"uris":["http://zotero.org/users/10578/i</vt:lpwstr>
  </property>
  <property fmtid="{D5CDD505-2E9C-101B-9397-08002B2CF9AE}" pid="114" name="ZOTERO_BREF_6XZYgjwtnhZu_2">
    <vt:lpwstr>tems/H8GKHDWN"],"uri":["http://zotero.org/users/10578/items/H8GKHDWN"],"itemData":{"id":16621,"type":"paper-conference","title":"Lingua Francas for design: sacred places and pattern languages","container-title":"Proceedings of the 3rd Conference on Design</vt:lpwstr>
  </property>
  <property fmtid="{D5CDD505-2E9C-101B-9397-08002B2CF9AE}" pid="115" name="ZOTERO_BREF_6XZYgjwtnhZu_3">
    <vt:lpwstr>ing Interactive Systems","publisher":"ACM Press","page":"357-368","source":"CrossRef","URL":"http://portal.acm.org/citation.cfm?doid=347642.347794","DOI":"10.1145/347642.347794","ISBN":"978-1-58113-219-9","shortTitle":"&lt;i&gt;Lingua Francas&lt;/i&gt; for design","l</vt:lpwstr>
  </property>
  <property fmtid="{D5CDD505-2E9C-101B-9397-08002B2CF9AE}" pid="116" name="ZOTERO_BREF_6XZYgjwtnhZu_4">
    <vt:lpwstr>anguage":"en","author":[{"family":"Erickson","given":"Thomas"}],"issued":{"date-parts":[["2000"]]},"accessed":{"date-parts":[["2016",9,19]]}},"locator":"362-363","label":"page"}],"schema":"https://github.com/citation-style-language/schema/raw/master/csl-c</vt:lpwstr>
  </property>
  <property fmtid="{D5CDD505-2E9C-101B-9397-08002B2CF9AE}" pid="117" name="ZOTERO_BREF_6XZYgjwtnhZu_5">
    <vt:lpwstr>itation.json"}</vt:lpwstr>
  </property>
  <property fmtid="{D5CDD505-2E9C-101B-9397-08002B2CF9AE}" pid="118" name="ZOTERO_BREF_6bFFb2WrJspC_1">
    <vt:lpwstr>ZOTERO_ITEM CSL_CITATION {"citationID":"l3kI4VcC","properties":{"formattedCitation":"(Dreyfus &amp; Kelly, 2011, p. 243)","plainCitation":"(Dreyfus &amp; Kelly, 2011, p. 243)"},"citationItems":[{"id":16418,"uris":["http://zotero.org/users/10578/items/FS7W7S28"],"</vt:lpwstr>
  </property>
  <property fmtid="{D5CDD505-2E9C-101B-9397-08002B2CF9AE}" pid="119" name="ZOTERO_BREF_6bFFb2WrJspC_2">
    <vt:lpwstr>uri":["http://zotero.org/users/10578/items/FS7W7S28"],"itemData":{"id":16418,"type":"chapter","title":"Lives Worth Living in a Secular Age","container-title":"All things shining: Reading the Western classics to find meaning in a secular age","publisher":"</vt:lpwstr>
  </property>
  <property fmtid="{D5CDD505-2E9C-101B-9397-08002B2CF9AE}" pid="120" name="ZOTERO_BREF_6bFFb2WrJspC_3">
    <vt:lpwstr>Free Press","publisher-place":"New York","page":"190-223","source":"Google Scholar","event-place":"New York","URL":"https://books.google.com/books?id=jzXPSEj6ghEC&amp;","author":[{"family":"Dreyfus","given":"Hubert L."},{"family":"Kelly","given":"Sean Dorranc</vt:lpwstr>
  </property>
  <property fmtid="{D5CDD505-2E9C-101B-9397-08002B2CF9AE}" pid="121" name="ZOTERO_BREF_6bFFb2WrJspC_4">
    <vt:lpwstr>e"}],"issued":{"date-parts":[["2011"]]},"accessed":{"date-parts":[["2016",6,14]]}},"locator":"243","label":"page"}],"schema":"https://github.com/citation-style-language/schema/raw/master/csl-citation.json"}</vt:lpwstr>
  </property>
  <property fmtid="{D5CDD505-2E9C-101B-9397-08002B2CF9AE}" pid="122" name="ZOTERO_BREF_7R4efZqKCSsQ_1">
    <vt:lpwstr>ZOTERO_ITEM CSL_CITATION {"citationID":"XeF3T7qA","properties":{"formattedCitation":"{\\rtf (Alexander, 2003, pp. 8\\uc0\\u8211{}9)}","plainCitation":"(Alexander, 2003, pp. 8–9)"},"citationItems":[{"id":16452,"uris":["http://zotero.org/users/10578/items/S</vt:lpwstr>
  </property>
  <property fmtid="{D5CDD505-2E9C-101B-9397-08002B2CF9AE}" pid="123" name="ZOTERO_BREF_7R4efZqKCSsQ_2">
    <vt:lpwstr>6VMBPDC"],"uri":["http://zotero.org/users/10578/items/S6VMBPDC"],"itemData":{"id":16452,"type":"manuscript","title":"New Concepts In Complexity Theory: A Scientific Introduction to the Concepts in the Nature of Order","URL":"http://www.natureoforder.com/l</vt:lpwstr>
  </property>
  <property fmtid="{D5CDD505-2E9C-101B-9397-08002B2CF9AE}" pid="124" name="ZOTERO_BREF_7R4efZqKCSsQ_3">
    <vt:lpwstr>ibrary-of-articles.htm","author":[{"family":"Alexander","given":"Christopher"}],"issued":{"date-parts":[["2003",5]]}},"locator":"8-9","label":"page"}],"schema":"https://github.com/citation-style-language/schema/raw/master/csl-citation.json"}</vt:lpwstr>
  </property>
  <property fmtid="{D5CDD505-2E9C-101B-9397-08002B2CF9AE}" pid="125" name="ZOTERO_BREF_8vcUU8rnjXJ3_1">
    <vt:lpwstr>ZOTERO_ITEM CSL_CITATION {"citationID":"tpzHXxrR","properties":{"formattedCitation":"(Alexander, 1966, p. 47)","plainCitation":"(Alexander, 1966, p. 47)"},"citationItems":[{"id":1810,"uris":["http://zotero.org/users/10578/items/XFS9ZWVV"],"uri":["http://z</vt:lpwstr>
  </property>
  <property fmtid="{D5CDD505-2E9C-101B-9397-08002B2CF9AE}" pid="126" name="ZOTERO_BREF_8vcUU8rnjXJ3_2">
    <vt:lpwstr>otero.org/users/10578/items/XFS9ZWVV"],"itemData":{"id":1810,"type":"article-journal","title":"A City is Not a Tree","container-title":"Design","page":"46-55","volume":"206","URL":"http://vads.ac.uk/diad/article.php?year=1966&amp;title=206&amp;article=d.206.27","</vt:lpwstr>
  </property>
  <property fmtid="{D5CDD505-2E9C-101B-9397-08002B2CF9AE}" pid="127" name="ZOTERO_BREF_8vcUU8rnjXJ3_3">
    <vt:lpwstr>author":[{"family":"Alexander","given":"Christopher"}],"issued":{"date-parts":[["1966"]]}},"locator":"47","label":"page"}],"schema":"https://github.com/citation-style-language/schema/raw/master/csl-citation.json"}</vt:lpwstr>
  </property>
  <property fmtid="{D5CDD505-2E9C-101B-9397-08002B2CF9AE}" pid="128" name="ZOTERO_BREF_9A77g9MLWQCU1_1">
    <vt:lpwstr>ZOTERO_ITEM CSL_CITATION {"citationID":"ryzAPCq3","properties":{"formattedCitation":"{\\rtf (Ingold, 2011d, pp. 69\\uc0\\u8211{}70)}","plainCitation":"(Ingold, 2011d, pp. 69–70)"},"citationItems":[{"id":16622,"uris":["http://zotero.org/users/10578/items/K</vt:lpwstr>
  </property>
  <property fmtid="{D5CDD505-2E9C-101B-9397-08002B2CF9AE}" pid="129" name="ZOTERO_BREF_9A77g9MLWQCU1_2">
    <vt:lpwstr>H3W85KD"],"uri":["http://zotero.org/users/10578/items/KH3W85KD"],"itemData":{"id":16622,"type":"chapter","title":"Rethinking the animate, reanimating thought","container-title":"Being Alive: Essays on Movement, Knowledge and Description","publisher":"Rout</vt:lpwstr>
  </property>
  <property fmtid="{D5CDD505-2E9C-101B-9397-08002B2CF9AE}" pid="130" name="ZOTERO_BREF_9A77g9MLWQCU1_3">
    <vt:lpwstr>ledge","page":"67-75","source":"Google Books","abstract":"Anthropology is a disciplined inquiry into the conditions and potentials of human life. Generations of theorists, however, have expunged life from their accounts, treating it as the mere output of </vt:lpwstr>
  </property>
  <property fmtid="{D5CDD505-2E9C-101B-9397-08002B2CF9AE}" pid="131" name="ZOTERO_BREF_9A77g9MLWQCU1_4">
    <vt:lpwstr>patterns, codes, structures or systems variously defined as genetic or cultural, natural or social. Building on his classic work The Perception of the Environment, Tim Ingold sets out to restore life to where it should belong, at the heart of anthropologi</vt:lpwstr>
  </property>
  <property fmtid="{D5CDD505-2E9C-101B-9397-08002B2CF9AE}" pid="132" name="ZOTERO_BREF_9A77g9MLWQCU1_5">
    <vt:lpwstr>cal concern.  Being Alive ranges over such themes as the vitality of materials, what it means to make things, the perception and formation of the ground, the mingling of earth and sky in the weather-world, the experiences of light, sound and feeling, the </vt:lpwstr>
  </property>
  <property fmtid="{D5CDD505-2E9C-101B-9397-08002B2CF9AE}" pid="133" name="ZOTERO_BREF_9A77g9MLWQCU1_6">
    <vt:lpwstr>role of storytelling in the integration of knowledge, and the potential of drawing to unite observation and description.  Our humanity, Ingold argues, does not come ready-made but is continually fashioned in our movements along ways of life. Starting from</vt:lpwstr>
  </property>
  <property fmtid="{D5CDD505-2E9C-101B-9397-08002B2CF9AE}" pid="134" name="ZOTERO_BREF_9A77g9MLWQCU1_7">
    <vt:lpwstr> the idea of life as a process of wayfaring, Ingold presents a radically new understanding of movement, knowledge and description as dimensions not just of being in the world, but of being alive to what is going on there.","ISBN":"978-1-136-73543-1","lang</vt:lpwstr>
  </property>
  <property fmtid="{D5CDD505-2E9C-101B-9397-08002B2CF9AE}" pid="135" name="ZOTERO_BREF_9A77g9MLWQCU1_8">
    <vt:lpwstr>uage":"en","author":[{"family":"Ingold","given":"Tim"}],"issued":{"date-parts":[["2011"]]}},"locator":"69-70","label":"page"}],"schema":"https://github.com/citation-style-language/schema/raw/master/csl-citation.json"}</vt:lpwstr>
  </property>
  <property fmtid="{D5CDD505-2E9C-101B-9397-08002B2CF9AE}" pid="136" name="ZOTERO_BREF_9A77g9MLWQCU_1">
    <vt:lpwstr>ZOTERO_ITEM CSL_CITATION {"citationID":"0RWIptaA","properties":{"formattedCitation":"{\\rtf (Ingold, 2011d, pp. 69\\uc0\\u8211{}70)}","plainCitation":"(Ingold, 2011d, pp. 69–70)"},"citationItems":[{"id":16622,"uris":["http://zotero.org/users/10578/items/K</vt:lpwstr>
  </property>
  <property fmtid="{D5CDD505-2E9C-101B-9397-08002B2CF9AE}" pid="137" name="ZOTERO_BREF_9A77g9MLWQCU_2">
    <vt:lpwstr>H3W85KD"],"uri":["http://zotero.org/users/10578/items/KH3W85KD"],"itemData":{"id":16622,"type":"chapter","title":"Rethinking the animate, reanimating thought","container-title":"Being Alive: Essays on Movement, Knowledge and Description","publisher":"Rout</vt:lpwstr>
  </property>
  <property fmtid="{D5CDD505-2E9C-101B-9397-08002B2CF9AE}" pid="138" name="ZOTERO_BREF_9A77g9MLWQCU_3">
    <vt:lpwstr>ledge","page":"67-75","source":"Google Books","abstract":"Anthropology is a disciplined inquiry into the conditions and potentials of human life. Generations of theorists, however, have expunged life from their accounts, treating it as the mere output of </vt:lpwstr>
  </property>
  <property fmtid="{D5CDD505-2E9C-101B-9397-08002B2CF9AE}" pid="139" name="ZOTERO_BREF_9A77g9MLWQCU_4">
    <vt:lpwstr>patterns, codes, structures or systems variously defined as genetic or cultural, natural or social. Building on his classic work The Perception of the Environment, Tim Ingold sets out to restore life to where it should belong, at the heart of anthropologi</vt:lpwstr>
  </property>
  <property fmtid="{D5CDD505-2E9C-101B-9397-08002B2CF9AE}" pid="140" name="ZOTERO_BREF_9A77g9MLWQCU_5">
    <vt:lpwstr>cal concern.  Being Alive ranges over such themes as the vitality of materials, what it means to make things, the perception and formation of the ground, the mingling of earth and sky in the weather-world, the experiences of light, sound and feeling, the </vt:lpwstr>
  </property>
  <property fmtid="{D5CDD505-2E9C-101B-9397-08002B2CF9AE}" pid="141" name="ZOTERO_BREF_9A77g9MLWQCU_6">
    <vt:lpwstr>role of storytelling in the integration of knowledge, and the potential of drawing to unite observation and description.  Our humanity, Ingold argues, does not come ready-made but is continually fashioned in our movements along ways of life. Starting from</vt:lpwstr>
  </property>
  <property fmtid="{D5CDD505-2E9C-101B-9397-08002B2CF9AE}" pid="142" name="ZOTERO_BREF_9A77g9MLWQCU_7">
    <vt:lpwstr> the idea of life as a process of wayfaring, Ingold presents a radically new understanding of movement, knowledge and description as dimensions not just of being in the world, but of being alive to what is going on there.","ISBN":"978-1-136-73543-1","lang</vt:lpwstr>
  </property>
  <property fmtid="{D5CDD505-2E9C-101B-9397-08002B2CF9AE}" pid="143" name="ZOTERO_BREF_9A77g9MLWQCU_8">
    <vt:lpwstr>uage":"en","author":[{"family":"Ingold","given":"Tim"}],"issued":{"date-parts":[["2011"]]}},"locator":"69-70","label":"page"}],"schema":"https://github.com/citation-style-language/schema/raw/master/csl-citation.json"}</vt:lpwstr>
  </property>
  <property fmtid="{D5CDD505-2E9C-101B-9397-08002B2CF9AE}" pid="144" name="ZOTERO_BREF_9WS1EQPmDWZp_1">
    <vt:lpwstr>ZOTERO_ITEM CSL_CITATION {"citationID":"i7ipuiIB","properties":{"formattedCitation":"(Checkland, 2006, p. 770)","plainCitation":"(Checkland, 2006, p. 770)"},"citationItems":[{"id":16632,"uris":["http://zotero.org/users/10578/items/2DH5T93E"],"uri":["http:</vt:lpwstr>
  </property>
  <property fmtid="{D5CDD505-2E9C-101B-9397-08002B2CF9AE}" pid="145" name="ZOTERO_BREF_9WS1EQPmDWZp_2">
    <vt:lpwstr>//zotero.org/users/10578/items/2DH5T93E"],"itemData":{"id":16632,"type":"article-journal","title":"Reply to Eden and Ackermann: Any Future for Problem Structuring Methods?","container-title":"The Journal of the Operational Research Society","page":"769-77</vt:lpwstr>
  </property>
  <property fmtid="{D5CDD505-2E9C-101B-9397-08002B2CF9AE}" pid="146" name="ZOTERO_BREF_9WS1EQPmDWZp_3">
    <vt:lpwstr>1","volume":"57","issue":"7","source":"JSTOR","URL":"http://dx.doi.org/10.1057/palgrave.jors.2602111","DOI":"10.1057/palgrave.jors.2602111","ISSN":"0160-5682","shortTitle":"Reply to Eden and Ackermann","journalAbbreviation":"The Journal of the Operational</vt:lpwstr>
  </property>
  <property fmtid="{D5CDD505-2E9C-101B-9397-08002B2CF9AE}" pid="147" name="ZOTERO_BREF_9WS1EQPmDWZp_4">
    <vt:lpwstr> Research Society","author":[{"family":"Checkland","given":"Peter"}],"issued":{"date-parts":[["2006"]]},"accessed":{"date-parts":[["2016",9,25]]}},"locator":"770","label":"page"}],"schema":"https://github.com/citation-style-language/schema/raw/master/csl-</vt:lpwstr>
  </property>
  <property fmtid="{D5CDD505-2E9C-101B-9397-08002B2CF9AE}" pid="148" name="ZOTERO_BREF_9WS1EQPmDWZp_5">
    <vt:lpwstr>citation.json"}</vt:lpwstr>
  </property>
  <property fmtid="{D5CDD505-2E9C-101B-9397-08002B2CF9AE}" pid="149" name="ZOTERO_BREF_AHc9IJdjhnpi_1">
    <vt:lpwstr>ZOTERO_ITEM CSL_CITATION {"citationID":"B6tJ5IqH","properties":{"formattedCitation":"(Normann, 2001)","plainCitation":"(Normann, 2001)"},"citationItems":[{"id":147,"uris":["http://zotero.org/users/10578/items/PP8URTI5"],"uri":["http://zotero.org/users/105</vt:lpwstr>
  </property>
  <property fmtid="{D5CDD505-2E9C-101B-9397-08002B2CF9AE}" pid="150" name="ZOTERO_BREF_AHc9IJdjhnpi_2">
    <vt:lpwstr>78/items/PP8URTI5"],"itemData":{"id":147,"type":"book","title":"Reframing business","publisher":"Wiley","publisher-place":"New York","source":"Google Books","event-place":"New York","ISBN":"0-471-48557-8","author":[{"family":"Normann","given":"Richard"}],</vt:lpwstr>
  </property>
  <property fmtid="{D5CDD505-2E9C-101B-9397-08002B2CF9AE}" pid="151" name="ZOTERO_BREF_AHc9IJdjhnpi_3">
    <vt:lpwstr>"issued":{"date-parts":[["2001"]]}}}],"schema":"https://github.com/citation-style-language/schema/raw/master/csl-citation.json"}</vt:lpwstr>
  </property>
  <property fmtid="{D5CDD505-2E9C-101B-9397-08002B2CF9AE}" pid="152" name="ZOTERO_BREF_As4lvdrjmge6_1">
    <vt:lpwstr>ZOTERO_ITEM CSL_CITATION {"citationID":"YWNIj46P","properties":{"formattedCitation":"(Koenig, 1998, p. 387)","plainCitation":"(Koenig, 1998, p. 387)"},"citationItems":[{"id":16612,"uris":["http://zotero.org/users/10578/items/5DITDJPM"],"uri":["http://zote</vt:lpwstr>
  </property>
  <property fmtid="{D5CDD505-2E9C-101B-9397-08002B2CF9AE}" pid="153" name="ZOTERO_BREF_As4lvdrjmge6_2">
    <vt:lpwstr>ro.org/users/10578/items/5DITDJPM"],"itemData":{"id":16612,"type":"chapter","title":"Patterns and antipatterns","container-title":"The patterns handbook: techniques, strategies, and applications","publisher":"Cambridge University Press","page":"383-389","</vt:lpwstr>
  </property>
  <property fmtid="{D5CDD505-2E9C-101B-9397-08002B2CF9AE}" pid="154" name="ZOTERO_BREF_As4lvdrjmge6_3">
    <vt:lpwstr>source":"Google Scholar","URL":"https://books.google.com/books?id=DbsKW7Yzwt8C","author":[{"family":"Koenig","given":"Andrew"}],"editor":[{"family":"Rising","given":"Linda"}],"issued":{"date-parts":[["1998"]]},"accessed":{"date-parts":[["2016",9,16]]}},"l</vt:lpwstr>
  </property>
  <property fmtid="{D5CDD505-2E9C-101B-9397-08002B2CF9AE}" pid="155" name="ZOTERO_BREF_As4lvdrjmge6_4">
    <vt:lpwstr>ocator":"387","label":"page"}],"schema":"https://github.com/citation-style-language/schema/raw/master/csl-citation.json"}</vt:lpwstr>
  </property>
  <property fmtid="{D5CDD505-2E9C-101B-9397-08002B2CF9AE}" pid="156" name="ZOTERO_BREF_B3Jq5GCZC9Jp_1">
    <vt:lpwstr>ZOTERO_ITEM CSL_CITATION {"citationID":"a1uEP5me","properties":{"formattedCitation":"(Weick, 1989, p. 249)","plainCitation":"(Weick, 1989, p. 249)"},"citationItems":[{"id":16593,"uris":["http://zotero.org/users/10578/items/9RVBTE3A"],"uri":["http://zotero</vt:lpwstr>
  </property>
  <property fmtid="{D5CDD505-2E9C-101B-9397-08002B2CF9AE}" pid="157" name="ZOTERO_BREF_B3Jq5GCZC9Jp_2">
    <vt:lpwstr>.org/users/10578/items/9RVBTE3A"],"itemData":{"id":16593,"type":"article-journal","title":"Organized improvisation: 20 years of organizing","container-title":"Communication Studies","page":"241-248","volume":"40","issue":"4","source":"CrossRef","URL":"htt</vt:lpwstr>
  </property>
  <property fmtid="{D5CDD505-2E9C-101B-9397-08002B2CF9AE}" pid="158" name="ZOTERO_BREF_B3Jq5GCZC9Jp_3">
    <vt:lpwstr>p://dx.doi.org/10.1080/10510978909368277","DOI":"10.1080/10510978909368277","ISSN":"1051-0974, 1745-1035","shortTitle":"Organized improvisation","language":"en","author":[{"family":"Weick","given":"Karl E."}],"issued":{"date-parts":[["1989"]]},"accessed":</vt:lpwstr>
  </property>
  <property fmtid="{D5CDD505-2E9C-101B-9397-08002B2CF9AE}" pid="159" name="ZOTERO_BREF_B3Jq5GCZC9Jp_4">
    <vt:lpwstr>{"date-parts":[["2016",9,9]]}},"locator":"249","label":"page"}],"schema":"https://github.com/citation-style-language/schema/raw/master/csl-citation.json"}</vt:lpwstr>
  </property>
  <property fmtid="{D5CDD505-2E9C-101B-9397-08002B2CF9AE}" pid="160" name="ZOTERO_BREF_B6gzwaEiVQXW_1">
    <vt:lpwstr>ZOTERO_ITEM CSL_CITATION {"citationID":"qs0DJ2o6","properties":{"formattedCitation":"{\\rtf (Griffin &amp; Hauser, 1993, pp. 3\\uc0\\u8211{}5)}","plainCitation":"(Griffin &amp; Hauser, 1993, pp. 3–5)"},"citationItems":[{"id":16585,"uris":["http://zotero.org/users</vt:lpwstr>
  </property>
  <property fmtid="{D5CDD505-2E9C-101B-9397-08002B2CF9AE}" pid="161" name="ZOTERO_BREF_B6gzwaEiVQXW_2">
    <vt:lpwstr>/10578/items/PE7XS6JV"],"uri":["http://zotero.org/users/10578/items/PE7XS6JV"],"itemData":{"id":16585,"type":"article-journal","title":"The voice of the customer","container-title":"Marketing science","page":"1–27","volume":"12","issue":"1","source":"Goog</vt:lpwstr>
  </property>
  <property fmtid="{D5CDD505-2E9C-101B-9397-08002B2CF9AE}" pid="162" name="ZOTERO_BREF_B6gzwaEiVQXW_3">
    <vt:lpwstr>le Scholar","URL":"http://dx.doi.org/10.1287/mksc.12.1.1","author":[{"family":"Griffin","given":"Abbie"},{"family":"Hauser","given":"John R."}],"issued":{"date-parts":[["1993"]]},"accessed":{"date-parts":[["2016",9,6]]}},"locator":"3-5","label":"page"}],"</vt:lpwstr>
  </property>
  <property fmtid="{D5CDD505-2E9C-101B-9397-08002B2CF9AE}" pid="163" name="ZOTERO_BREF_B6gzwaEiVQXW_4">
    <vt:lpwstr>schema":"https://github.com/citation-style-language/schema/raw/master/csl-citation.json"}</vt:lpwstr>
  </property>
  <property fmtid="{D5CDD505-2E9C-101B-9397-08002B2CF9AE}" pid="164" name="ZOTERO_BREF_BkAZJ4loukRb_1">
    <vt:lpwstr>ZOTERO_ITEM CSL_CITATION {"citationID":"S5ApTOqR","properties":{"formattedCitation":"(Ackoff &amp; Emery, 1972, p. 23)","plainCitation":"(Ackoff &amp; Emery, 1972, p. 23)"},"citationItems":[{"id":300,"uris":["http://zotero.org/users/10578/items/CMGU6URQ"],"uri":[</vt:lpwstr>
  </property>
  <property fmtid="{D5CDD505-2E9C-101B-9397-08002B2CF9AE}" pid="165" name="ZOTERO_BREF_BkAZJ4loukRb_2">
    <vt:lpwstr>"http://zotero.org/users/10578/items/CMGU6URQ"],"itemData":{"id":300,"type":"book","title":"On purposeful systems","publisher":"Aldine-Atherton","number-of-pages":"312","source":"Google Books","ISBN":"978-0-202-37000-2","author":[{"family":"Ackoff","given</vt:lpwstr>
  </property>
  <property fmtid="{D5CDD505-2E9C-101B-9397-08002B2CF9AE}" pid="166" name="ZOTERO_BREF_BkAZJ4loukRb_3">
    <vt:lpwstr>":"Russell L."},{"family":"Emery","given":"Fred E."}],"issued":{"date-parts":[["1972"]]}},"locator":"23","label":"page"}],"schema":"https://github.com/citation-style-language/schema/raw/master/csl-citation.json"}</vt:lpwstr>
  </property>
  <property fmtid="{D5CDD505-2E9C-101B-9397-08002B2CF9AE}" pid="167" name="ZOTERO_BREF_BuysTySzbr2O_1">
    <vt:lpwstr>ZOTERO_ITEM CSL_CITATION {"citationID":"C6rd4GEp","properties":{"formattedCitation":"(Alexander et al., 1968, p. 18)","plainCitation":"(Alexander et al., 1968, p. 18)"},"citationItems":[{"id":1808,"uris":["http://zotero.org/users/10578/items/Q37EGESQ"],"u</vt:lpwstr>
  </property>
  <property fmtid="{D5CDD505-2E9C-101B-9397-08002B2CF9AE}" pid="168" name="ZOTERO_BREF_BuysTySzbr2O_2">
    <vt:lpwstr>ri":["http://zotero.org/users/10578/items/Q37EGESQ"],"itemData":{"id":1808,"type":"book","title":"A Pattern Language which Generates Multi-service Centers","publisher":"Center for Environmental Structure","number-of-pages":"306","source":"Google Books","U</vt:lpwstr>
  </property>
  <property fmtid="{D5CDD505-2E9C-101B-9397-08002B2CF9AE}" pid="169" name="ZOTERO_BREF_BuysTySzbr2O_3">
    <vt:lpwstr>RL":"http://books.google.ca/books?id=FGdPAAAAMAAJ","language":"en","author":[{"family":"Alexander","given":"Christopher"},{"family":"Ishikawa","given":"Sara"},{"family":"Silverstein","given":"Murray"}],"issued":{"date-parts":[["1968"]]}},"locator":"18","l</vt:lpwstr>
  </property>
  <property fmtid="{D5CDD505-2E9C-101B-9397-08002B2CF9AE}" pid="170" name="ZOTERO_BREF_BuysTySzbr2O_4">
    <vt:lpwstr>abel":"page"}],"schema":"https://github.com/citation-style-language/schema/raw/master/csl-citation.json"}</vt:lpwstr>
  </property>
  <property fmtid="{D5CDD505-2E9C-101B-9397-08002B2CF9AE}" pid="171" name="ZOTERO_BREF_BwWD7UWcuKJP_1">
    <vt:lpwstr>ZOTERO_ITEM CSL_CITATION {"citationID":"7axw3huf","properties":{"formattedCitation":"{\\rtf (Alexander, 1979, pp. xiii\\uc0\\u8211{}iv)}","plainCitation":"(Alexander, 1979, pp. xiii–iv)"},"citationItems":[{"id":1391,"uris":["http://zotero.org/users/10578/</vt:lpwstr>
  </property>
  <property fmtid="{D5CDD505-2E9C-101B-9397-08002B2CF9AE}" pid="172" name="ZOTERO_BREF_BwWD7UWcuKJP_2">
    <vt:lpwstr>items/TE8TRH3R"],"uri":["http://zotero.org/users/10578/items/TE8TRH3R"],"itemData":{"id":1391,"type":"book","title":"The Timeless Way of Building","publisher":"Oxford University Press","number-of-pages":"586","source":"Google Books","abstract":"The theory</vt:lpwstr>
  </property>
  <property fmtid="{D5CDD505-2E9C-101B-9397-08002B2CF9AE}" pid="173" name="ZOTERO_BREF_BwWD7UWcuKJP_3">
    <vt:lpwstr> of architecture implicit in our world today, Christopher Alexander believes, is bankrupt. More and more people are aware that something is deeply wrong. Yet the power of present-day ideas is so great that many feel uncomfortable, even afraid, to say open</vt:lpwstr>
  </property>
  <property fmtid="{D5CDD505-2E9C-101B-9397-08002B2CF9AE}" pid="174" name="ZOTERO_BREF_BwWD7UWcuKJP_4">
    <vt:lpwstr>ly that they dislike what is happening, because they are afraid to seem foolish, afraid perhaps that they will be laughed at.  Now, at last, there is a coherent theory which describes in modern terms an architecture as ancient as human society itself.  Th</vt:lpwstr>
  </property>
  <property fmtid="{D5CDD505-2E9C-101B-9397-08002B2CF9AE}" pid="175" name="ZOTERO_BREF_BwWD7UWcuKJP_5">
    <vt:lpwstr>e Timeless Way of Buildingis the introductory volume in the Center for Environmental Structure series, Christopher Alexander presents in it a new theory of architecture, building, and planning which has at its core that age-old process by which the people</vt:lpwstr>
  </property>
  <property fmtid="{D5CDD505-2E9C-101B-9397-08002B2CF9AE}" pid="176" name="ZOTERO_BREF_BwWD7UWcuKJP_6">
    <vt:lpwstr> of a society have always pulled the order of their world from their own being.  Alexander writes, \"There is one timeless way of building. It is thousands of years old, and the same today as it has always been. The great traditional buildings of the past</vt:lpwstr>
  </property>
  <property fmtid="{D5CDD505-2E9C-101B-9397-08002B2CF9AE}" pid="177" name="ZOTERO_BREF_BwWD7UWcuKJP_7">
    <vt:lpwstr>, the villages and tents and temples in which man feels at home, have always been made by people who were very close to the center of this way. And as you will see, this way will lead anyone who looks for it to buildings which are themselves as ancient in</vt:lpwstr>
  </property>
  <property fmtid="{D5CDD505-2E9C-101B-9397-08002B2CF9AE}" pid="178" name="ZOTERO_BREF_BwWD7UWcuKJP_8">
    <vt:lpwstr> their form as the trees and hills, and as our faces are.\"","URL":"http://books.google.ca/books?id=H6CE9hlbO8sC","ISBN":"978-0-19-502402-9","language":"en","author":[{"family":"Alexander","given":"Christopher"}],"issued":{"date-parts":[["1979"]]}},"locat</vt:lpwstr>
  </property>
  <property fmtid="{D5CDD505-2E9C-101B-9397-08002B2CF9AE}" pid="179" name="ZOTERO_BREF_BwWD7UWcuKJP_9">
    <vt:lpwstr>or":"xiii-iv","label":"page"}],"schema":"https://github.com/citation-style-language/schema/raw/master/csl-citation.json"}</vt:lpwstr>
  </property>
  <property fmtid="{D5CDD505-2E9C-101B-9397-08002B2CF9AE}" pid="180" name="ZOTERO_BREF_CZOM83qdrwR5_1">
    <vt:lpwstr>ZOTERO_ITEM CSL_CITATION {"citationID":"vJLIoyVk","properties":{"formattedCitation":"(Blattner, 2005, p. 316)","plainCitation":"(Blattner, 2005, p. 316)"},"citationItems":[{"id":16631,"uris":["http://zotero.org/users/10578/items/AFPDEWDQ"],"uri":["http://</vt:lpwstr>
  </property>
  <property fmtid="{D5CDD505-2E9C-101B-9397-08002B2CF9AE}" pid="181" name="ZOTERO_BREF_CZOM83qdrwR5_2">
    <vt:lpwstr>zotero.org/users/10578/items/AFPDEWDQ"],"itemData":{"id":16631,"type":"chapter","title":"Temporality","container-title":"A Companion to Heidegger","publisher":"Wiley-Blackwell","page":"311-324","URL":"http://wiley.com/WileyCDA/WileyTitle/productCd-1405110</vt:lpwstr>
  </property>
  <property fmtid="{D5CDD505-2E9C-101B-9397-08002B2CF9AE}" pid="182" name="ZOTERO_BREF_CZOM83qdrwR5_3">
    <vt:lpwstr>929.html","ISBN":"978-1-4051-1092-1","author":[{"family":"Blattner","given":"William"}],"editor":[{"family":"Dreyfus","given":"Hubert L."},{"family":"Wrathall","given":"Mark A."}],"issued":{"date-parts":[["2005"]]},"accessed":{"date-parts":[["2016",9,25]]</vt:lpwstr>
  </property>
  <property fmtid="{D5CDD505-2E9C-101B-9397-08002B2CF9AE}" pid="183" name="ZOTERO_BREF_CZOM83qdrwR5_4">
    <vt:lpwstr>}},"locator":"316","label":"page"}],"schema":"https://github.com/citation-style-language/schema/raw/master/csl-citation.json"}</vt:lpwstr>
  </property>
  <property fmtid="{D5CDD505-2E9C-101B-9397-08002B2CF9AE}" pid="184" name="ZOTERO_BREF_Ca0L0v3czsMZ_1">
    <vt:lpwstr/>
  </property>
  <property fmtid="{D5CDD505-2E9C-101B-9397-08002B2CF9AE}" pid="185" name="ZOTERO_BREF_D4EmHk2Fw73J_1">
    <vt:lpwstr>ZOTERO_ITEM CSL_CITATION {"citationID":"U3zyHP89","properties":{"formattedCitation":"{\\rtf (Ram\\uc0\\u237{}rez, 1999, p. 49)}","plainCitation":"(Ramírez, 1999, p. 49)"},"citationItems":[{"id":16607,"uris":["http://zotero.org/users/10578/items/RWKNSTNV"]</vt:lpwstr>
  </property>
  <property fmtid="{D5CDD505-2E9C-101B-9397-08002B2CF9AE}" pid="186" name="ZOTERO_BREF_D4EmHk2Fw73J_2">
    <vt:lpwstr>,"uri":["http://zotero.org/users/10578/items/RWKNSTNV"],"itemData":{"id":16607,"type":"article-journal","title":"Value co-production: intellectual origins and implications for practice and research","container-title":"Strategic Management Journal","page":</vt:lpwstr>
  </property>
  <property fmtid="{D5CDD505-2E9C-101B-9397-08002B2CF9AE}" pid="187" name="ZOTERO_BREF_D4EmHk2Fw73J_3">
    <vt:lpwstr>"49-65","volume":"20","issue":"1","source":"CrossRef","URL":"http://dx.doi.org/10.1002/(SICI)1097-0266(199901)20:1&lt;49::AID-SMJ20&gt;3.0.CO;2-2","DOI":"10.1002/(SICI)1097-0266(199901)20:1&lt;49::AID-SMJ20&gt;3.0.CO;2-2","ISSN":"0143-2095, 1097-0266","shortTitle":"V</vt:lpwstr>
  </property>
  <property fmtid="{D5CDD505-2E9C-101B-9397-08002B2CF9AE}" pid="188" name="ZOTERO_BREF_D4EmHk2Fw73J_4">
    <vt:lpwstr>alue co-production","language":"en","author":[{"family":"Ramírez","given":"Rafael"}],"issued":{"date-parts":[["1999"]]},"accessed":{"date-parts":[["2016",9,13]]}},"locator":"49","label":"page"}],"schema":"https://github.com/citation-style-language/schema/</vt:lpwstr>
  </property>
  <property fmtid="{D5CDD505-2E9C-101B-9397-08002B2CF9AE}" pid="189" name="ZOTERO_BREF_D4EmHk2Fw73J_5">
    <vt:lpwstr>raw/master/csl-citation.json"}</vt:lpwstr>
  </property>
  <property fmtid="{D5CDD505-2E9C-101B-9397-08002B2CF9AE}" pid="190" name="ZOTERO_BREF_DbZiTIpVcHTB_1">
    <vt:lpwstr>ZOTERO_ITEM CSL_CITATION {"citationID":"mNcjBKtJ","properties":{"formattedCitation":"(Gabriel, 1996, p. 39)","plainCitation":"(Gabriel, 1996, p. 39)"},"citationItems":[{"id":16415,"uris":["http://zotero.org/users/10578/items/IQSS9M6I"],"uri":["http://zote</vt:lpwstr>
  </property>
  <property fmtid="{D5CDD505-2E9C-101B-9397-08002B2CF9AE}" pid="191" name="ZOTERO_BREF_DbZiTIpVcHTB_2">
    <vt:lpwstr>ro.org/users/10578/items/IQSS9M6I"],"itemData":{"id":16415,"type":"chapter","title":"The Quality Without a Name","container-title":"Patterns of software","publisher":"Oxford University Press","publisher-place":"New York","page":"33-44","source":"Google Sc</vt:lpwstr>
  </property>
  <property fmtid="{D5CDD505-2E9C-101B-9397-08002B2CF9AE}" pid="192" name="ZOTERO_BREF_DbZiTIpVcHTB_3">
    <vt:lpwstr>holar","event-place":"New York","URL":"http://dreamsongs.net/Files/PatternsOfSoftware.pdf","author":[{"family":"Gabriel","given":"Richard P."}],"issued":{"date-parts":[["1996"]]},"accessed":{"date-parts":[["2016",6,14]]}},"locator":"39","label":"page"}],"</vt:lpwstr>
  </property>
  <property fmtid="{D5CDD505-2E9C-101B-9397-08002B2CF9AE}" pid="193" name="ZOTERO_BREF_DbZiTIpVcHTB_4">
    <vt:lpwstr>schema":"https://github.com/citation-style-language/schema/raw/master/csl-citation.json"}</vt:lpwstr>
  </property>
  <property fmtid="{D5CDD505-2E9C-101B-9397-08002B2CF9AE}" pid="194" name="ZOTERO_BREF_DcitseA429dj_1">
    <vt:lpwstr>ZOTERO_ITEM CSL_CITATION {"citationID":"h7XWd9cG","properties":{"formattedCitation":"(Cunningham &amp; Mehaffy, 2013, p. 6)","plainCitation":"(Cunningham &amp; Mehaffy, 2013, p. 6)"},"citationItems":[{"id":16646,"uris":["http://zotero.org/users/10578/items/WWQTDH</vt:lpwstr>
  </property>
  <property fmtid="{D5CDD505-2E9C-101B-9397-08002B2CF9AE}" pid="195" name="ZOTERO_BREF_DcitseA429dj_2">
    <vt:lpwstr>6M"],"uri":["http://zotero.org/users/10578/items/WWQTDH6M"],"itemData":{"id":16646,"type":"paper-conference","title":"Wiki as pattern language","publisher":"The Hillside Group","page":"32","source":"dl.acm.org","event":"Proceedings of the 20th Conference </vt:lpwstr>
  </property>
  <property fmtid="{D5CDD505-2E9C-101B-9397-08002B2CF9AE}" pid="196" name="ZOTERO_BREF_DcitseA429dj_3">
    <vt:lpwstr>on Pattern Languages of Programs","URL":"http://dl.acm.org/citation.cfm?id=2725669.2725707","ISBN":"978-1-941652-00-8","author":[{"family":"Cunningham","given":"Ward"},{"family":"Mehaffy","given":"Michael"}],"issued":{"date-parts":[["2013"]]},"accessed":{</vt:lpwstr>
  </property>
  <property fmtid="{D5CDD505-2E9C-101B-9397-08002B2CF9AE}" pid="197" name="ZOTERO_BREF_DcitseA429dj_4">
    <vt:lpwstr>"date-parts":[["2016",9,29]]}},"locator":"6","label":"page"}],"schema":"https://github.com/citation-style-language/schema/raw/master/csl-citation.json"}</vt:lpwstr>
  </property>
  <property fmtid="{D5CDD505-2E9C-101B-9397-08002B2CF9AE}" pid="198" name="ZOTERO_BREF_DkTdtuearZfM_1">
    <vt:lpwstr>ZOTERO_ITEM CSL_CITATION {"citationID":"SegIXZlo","properties":{"formattedCitation":"{\\rtf (Lerup, 1977, pp. 20\\uc0\\u8211{}21)}","plainCitation":"(Lerup, 1977, pp. 20–21)"},"citationItems":[{"id":16594,"uris":["http://zotero.org/users/10578/items/TTVVE</vt:lpwstr>
  </property>
  <property fmtid="{D5CDD505-2E9C-101B-9397-08002B2CF9AE}" pid="199" name="ZOTERO_BREF_DkTdtuearZfM_2">
    <vt:lpwstr>9FT"],"uri":["http://zotero.org/users/10578/items/TTVVE9FT"],"itemData":{"id":16594,"type":"book","title":"Building the unfinished: architecture and human action","publisher":"Sage Publications","publisher-place":"Beverly Hills","number-of-pages":"180","s</vt:lpwstr>
  </property>
  <property fmtid="{D5CDD505-2E9C-101B-9397-08002B2CF9AE}" pid="200" name="ZOTERO_BREF_DkTdtuearZfM_3">
    <vt:lpwstr>ource":"Google Books","event-place":"Beverly Hills","URL":"https://books.google.com/books?isbn=0803909225","ISBN":"978-0-8039-0922-9","note":"Google-Books-ID: VxdDAQAAIAAJ","shortTitle":"Building the unfinished","language":"en","author":[{"family":"Lerup"</vt:lpwstr>
  </property>
  <property fmtid="{D5CDD505-2E9C-101B-9397-08002B2CF9AE}" pid="201" name="ZOTERO_BREF_DkTdtuearZfM_4">
    <vt:lpwstr>,"given":"Lars"}],"issued":{"date-parts":[["1977"]]}},"locator":"20-21","label":"page"}],"schema":"https://github.com/citation-style-language/schema/raw/master/csl-citation.json"}</vt:lpwstr>
  </property>
  <property fmtid="{D5CDD505-2E9C-101B-9397-08002B2CF9AE}" pid="202" name="ZOTERO_BREF_Dt4oZjfLSK4H_1">
    <vt:lpwstr/>
  </property>
  <property fmtid="{D5CDD505-2E9C-101B-9397-08002B2CF9AE}" pid="203" name="ZOTERO_BREF_EEAfqHijfEJQ_1">
    <vt:lpwstr>ZOTERO_ITEM CSL_CITATION {"citationID":"RN29okXN","properties":{"formattedCitation":"(Ingold, 2011d, p. 72)","plainCitation":"(Ingold, 2011d, p. 72)"},"citationItems":[{"id":16622,"uris":["http://zotero.org/users/10578/items/KH3W85KD"],"uri":["http://zote</vt:lpwstr>
  </property>
  <property fmtid="{D5CDD505-2E9C-101B-9397-08002B2CF9AE}" pid="204" name="ZOTERO_BREF_EEAfqHijfEJQ_2">
    <vt:lpwstr>ro.org/users/10578/items/KH3W85KD"],"itemData":{"id":16622,"type":"chapter","title":"Rethinking the animate, reanimating thought","container-title":"Being Alive: Essays on Movement, Knowledge and Description","publisher":"Routledge","page":"67-75","source</vt:lpwstr>
  </property>
  <property fmtid="{D5CDD505-2E9C-101B-9397-08002B2CF9AE}" pid="205" name="ZOTERO_BREF_EEAfqHijfEJQ_3">
    <vt:lpwstr>":"Google Books","abstract":"Anthropology is a disciplined inquiry into the conditions and potentials of human life. Generations of theorists, however, have expunged life from their accounts, treating it as the mere output of patterns, codes, structures o</vt:lpwstr>
  </property>
  <property fmtid="{D5CDD505-2E9C-101B-9397-08002B2CF9AE}" pid="206" name="ZOTERO_BREF_EEAfqHijfEJQ_4">
    <vt:lpwstr>r systems variously defined as genetic or cultural, natural or social. Building on his classic work The Perception of the Environment, Tim Ingold sets out to restore life to where it should belong, at the heart of anthropological concern.  Being Alive ran</vt:lpwstr>
  </property>
  <property fmtid="{D5CDD505-2E9C-101B-9397-08002B2CF9AE}" pid="207" name="ZOTERO_BREF_EEAfqHijfEJQ_5">
    <vt:lpwstr>ges over such themes as the vitality of materials, what it means to make things, the perception and formation of the ground, the mingling of earth and sky in the weather-world, the experiences of light, sound and feeling, the role of storytelling in the i</vt:lpwstr>
  </property>
  <property fmtid="{D5CDD505-2E9C-101B-9397-08002B2CF9AE}" pid="208" name="ZOTERO_BREF_EEAfqHijfEJQ_6">
    <vt:lpwstr>ntegration of knowledge, and the potential of drawing to unite observation and description.  Our humanity, Ingold argues, does not come ready-made but is continually fashioned in our movements along ways of life. Starting from the idea of life as a proces</vt:lpwstr>
  </property>
  <property fmtid="{D5CDD505-2E9C-101B-9397-08002B2CF9AE}" pid="209" name="ZOTERO_BREF_EEAfqHijfEJQ_7">
    <vt:lpwstr>s of wayfaring, Ingold presents a radically new understanding of movement, knowledge and description as dimensions not just of being in the world, but of being alive to what is going on there.","ISBN":"978-1-136-73543-1","language":"en","author":[{"family</vt:lpwstr>
  </property>
  <property fmtid="{D5CDD505-2E9C-101B-9397-08002B2CF9AE}" pid="210" name="ZOTERO_BREF_EEAfqHijfEJQ_8">
    <vt:lpwstr>":"Ingold","given":"Tim"}],"issued":{"date-parts":[["2011"]]}},"locator":"72","label":"page"}],"schema":"https://github.com/citation-style-language/schema/raw/master/csl-citation.json"}</vt:lpwstr>
  </property>
  <property fmtid="{D5CDD505-2E9C-101B-9397-08002B2CF9AE}" pid="211" name="ZOTERO_BREF_Ecmk8EOXOGkq_1">
    <vt:lpwstr>ZOTERO_ITEM CSL_CITATION {"citationID":"yo6jEPmX","properties":{"formattedCitation":"(Crawford, 2009)","plainCitation":"(Crawford, 2009)"},"citationItems":[{"id":16643,"uris":["http://zotero.org/users/10578/items/RQBTBM25"],"uri":["http://zotero.org/users</vt:lpwstr>
  </property>
  <property fmtid="{D5CDD505-2E9C-101B-9397-08002B2CF9AE}" pid="212" name="ZOTERO_BREF_Ecmk8EOXOGkq_10">
    <vt:lpwstr>we can live concretely in an ever more abstract world.","ISBN":"978-1-101-05729-2","note":"Google-Books-ID: rJiV1q1SDHcC","shortTitle":"Shop Class as Soulcraft","language":"en","author":[{"family":"Crawford","given":"Matthew B."}],"issued":{"date-parts":[</vt:lpwstr>
  </property>
  <property fmtid="{D5CDD505-2E9C-101B-9397-08002B2CF9AE}" pid="213" name="ZOTERO_BREF_Ecmk8EOXOGkq_11">
    <vt:lpwstr>["2009"]]}}}],"schema":"https://github.com/citation-style-language/schema/raw/master/csl-citation.json"}</vt:lpwstr>
  </property>
  <property fmtid="{D5CDD505-2E9C-101B-9397-08002B2CF9AE}" pid="214" name="ZOTERO_BREF_Ecmk8EOXOGkq_2">
    <vt:lpwstr>/10578/items/RQBTBM25"],"itemData":{"id":16643,"type":"book","title":"Shop Class as Soulcraft: An Inquiry into the Value of Work","publisher":"Penguin","number-of-pages":"186","source":"Google Books","abstract":"A philosopher / mechanic destroys the prete</vt:lpwstr>
  </property>
  <property fmtid="{D5CDD505-2E9C-101B-9397-08002B2CF9AE}" pid="215" name="ZOTERO_BREF_Ecmk8EOXOGkq_3">
    <vt:lpwstr>nsions of the high- prestige workplace and makes an irresistible case for working with one's hands Shop Class as Soulcraft brings alive an experience that was once quite common, but now seems to be receding from society-the experience of making and fixing</vt:lpwstr>
  </property>
  <property fmtid="{D5CDD505-2E9C-101B-9397-08002B2CF9AE}" pid="216" name="ZOTERO_BREF_Ecmk8EOXOGkq_4">
    <vt:lpwstr> things with our hands. Those of us who sit in an office often feel a lack of connection to the material world, a sense of loss, and find it difficult to say exactly what we do all day. For anyone who felt hustled off to college, then to the cubicle, agai</vt:lpwstr>
  </property>
  <property fmtid="{D5CDD505-2E9C-101B-9397-08002B2CF9AE}" pid="217" name="ZOTERO_BREF_Ecmk8EOXOGkq_5">
    <vt:lpwstr>nst their own inclinations and natural bents, Shop Class as Soulcraft seeks to restore the honor of the manual trades as a life worth choosing.  On both economic and psychological grounds, Crawford questions the educational imperative of turning everyone </vt:lpwstr>
  </property>
  <property fmtid="{D5CDD505-2E9C-101B-9397-08002B2CF9AE}" pid="218" name="ZOTERO_BREF_Ecmk8EOXOGkq_6">
    <vt:lpwstr>into a \"knowledge worker,\" based on a misguided separation of thinking from doing, the work of the hand from that of the mind. Crawford shows us how such a partition, which began a century ago with the assembly line, degrades work for those on both side</vt:lpwstr>
  </property>
  <property fmtid="{D5CDD505-2E9C-101B-9397-08002B2CF9AE}" pid="219" name="ZOTERO_BREF_Ecmk8EOXOGkq_7">
    <vt:lpwstr>s of the divide.  But Crawford offers good news as well: the manual trades are very different from the assembly line, and from dumbed-down white collar work as well. They require careful thinking and are punctuated by moments of genuine pleasure. Based on</vt:lpwstr>
  </property>
  <property fmtid="{D5CDD505-2E9C-101B-9397-08002B2CF9AE}" pid="220" name="ZOTERO_BREF_Ecmk8EOXOGkq_8">
    <vt:lpwstr> his own experience as an electrician and mechanic, Crawford makes a case for the intrinsic satisfactions and cognitive challenges of manual work. The work of builders and mechanics is secure; it cannot be outsourced, and it cannot be made obsolete. Such </vt:lpwstr>
  </property>
  <property fmtid="{D5CDD505-2E9C-101B-9397-08002B2CF9AE}" pid="221" name="ZOTERO_BREF_Ecmk8EOXOGkq_9">
    <vt:lpwstr>work ties us to the local communities in which we live, and instills the pride that comes from doing work that is genuinely useful. A wholly original debut, Shop Class as Soulcraft offers a passionate call for self-reliance and a moving reflection on how </vt:lpwstr>
  </property>
  <property fmtid="{D5CDD505-2E9C-101B-9397-08002B2CF9AE}" pid="222" name="ZOTERO_BREF_EwjrHYAFgsEu_1">
    <vt:lpwstr>ZOTERO_ITEM CSL_CITATION {"citationID":"OGLX2Wcf","properties":{"formattedCitation":"(Alexander, 2012, p. 11)","plainCitation":"(Alexander, 2012, p. 11)"},"citationItems":[{"id":1806,"uris":["http://zotero.org/users/10578/items/92KZ7VSH"],"uri":["http://z</vt:lpwstr>
  </property>
  <property fmtid="{D5CDD505-2E9C-101B-9397-08002B2CF9AE}" pid="223" name="ZOTERO_BREF_EwjrHYAFgsEu_10">
    <vt:lpwstr>nriched by a range of new processes that support the houses, communities, and health of all who inhabit the Earth.","URL":"http://books.google.com/books?id=xAMEywAACAAJ","ISBN":"978-0-19-989807-7","shortTitle":"The Battle for the Life and Beauty of the Ea</vt:lpwstr>
  </property>
  <property fmtid="{D5CDD505-2E9C-101B-9397-08002B2CF9AE}" pid="224" name="ZOTERO_BREF_EwjrHYAFgsEu_11">
    <vt:lpwstr>rth","language":"en","author":[{"family":"Alexander","given":"Christopher"}],"issued":{"date-parts":[["2012"]]}},"locator":"11","label":"page"}],"schema":"https://github.com/citation-style-language/schema/raw/master/csl-citation.json"}</vt:lpwstr>
  </property>
  <property fmtid="{D5CDD505-2E9C-101B-9397-08002B2CF9AE}" pid="225" name="ZOTERO_BREF_EwjrHYAFgsEu_2">
    <vt:lpwstr>otero.org/users/10578/items/92KZ7VSH"],"itemData":{"id":1806,"type":"book","title":"The Battle for the Life and Beauty of the Earth: A Struggle Between Two World-Systems","publisher":"Oxford University Press","number-of-pages":"528","source":"Google Books</vt:lpwstr>
  </property>
  <property fmtid="{D5CDD505-2E9C-101B-9397-08002B2CF9AE}" pid="226" name="ZOTERO_BREF_EwjrHYAFgsEu_3">
    <vt:lpwstr>","abstract":"The purpose of all architecture, writes Christopher Alexander, is to encourage and support life-giving activity, dreams, and playfulness. But in recent decades, while our buildings are technically better--more sturdy, more waterproof, more e</vt:lpwstr>
  </property>
  <property fmtid="{D5CDD505-2E9C-101B-9397-08002B2CF9AE}" pid="227" name="ZOTERO_BREF_EwjrHYAFgsEu_4">
    <vt:lpwstr>nergy efficient-- they have also became progressively more sterile, rarely providing the kind of environment in which people are emotionally nourished, genuinely happy, and deeply contented. Using the example of his building of the Eishin Campus in Japan,</vt:lpwstr>
  </property>
  <property fmtid="{D5CDD505-2E9C-101B-9397-08002B2CF9AE}" pid="228" name="ZOTERO_BREF_EwjrHYAFgsEu_5">
    <vt:lpwstr> Christopher Alexander and his collaborators reveal an ongoing dispute between two fundamentally different ways of shaping our world. One system places emphasis on subtleties, on finesse, on the structure of adaptation that makes each tiny part fit into t</vt:lpwstr>
  </property>
  <property fmtid="{D5CDD505-2E9C-101B-9397-08002B2CF9AE}" pid="229" name="ZOTERO_BREF_EwjrHYAFgsEu_6">
    <vt:lpwstr>he larger context. The other system is concerned with efficiency, with money, power and control, stressing the more gross aspects of size, speed, and profit. This second, \"business-as-usual\" system, Alexander argues, is incapable of creating the kind of</vt:lpwstr>
  </property>
  <property fmtid="{D5CDD505-2E9C-101B-9397-08002B2CF9AE}" pid="230" name="ZOTERO_BREF_EwjrHYAFgsEu_7">
    <vt:lpwstr> environment that is able to genuinely support the emotional, whole-making side of human life. To confront this sterile system, the book presents a new architecture that we--both as a world-wide civilization, and as individual people and cultures--can cre</vt:lpwstr>
  </property>
  <property fmtid="{D5CDD505-2E9C-101B-9397-08002B2CF9AE}" pid="231" name="ZOTERO_BREF_EwjrHYAFgsEu_8">
    <vt:lpwstr>ate, using new processes that allow us to build places of human energy and beauty. The book outlines nine ways of working, each one fully dedicated to wholeness, and able to support day-to-day activities that will make planning, design and construction po</vt:lpwstr>
  </property>
  <property fmtid="{D5CDD505-2E9C-101B-9397-08002B2CF9AE}" pid="232" name="ZOTERO_BREF_EwjrHYAFgsEu_9">
    <vt:lpwstr>ssible in an entirely new way, and in more humane ways. An innovative thinker about building techniques and planning, Christopher Alexander has attracted a devoted following. Here he introduces a way of building that includes the best current practices, e</vt:lpwstr>
  </property>
  <property fmtid="{D5CDD505-2E9C-101B-9397-08002B2CF9AE}" pid="233" name="ZOTERO_BREF_Fi6PIKpddJYK_1">
    <vt:lpwstr>ZOTERO_ITEM CSL_CITATION {"citationID":"mpLnMK8o","properties":{"formattedCitation":"(Royce, 1970)","plainCitation":"(Royce, 1970)"},"citationItems":[{"id":1385,"uris":["http://zotero.org/users/10578/items/SP7K83RU"],"uri":["http://zotero.org/users/10578/</vt:lpwstr>
  </property>
  <property fmtid="{D5CDD505-2E9C-101B-9397-08002B2CF9AE}" pid="234" name="ZOTERO_BREF_Fi6PIKpddJYK_2">
    <vt:lpwstr>items/SP7K83RU"],"itemData":{"id":1385,"type":"paper-conference","title":"Managing the development of large software systems: concepts and techniques","container-title":"Proceedings, IEEE WESCON","publisher":"IEEE","page":"328–338","source":"Google Schola</vt:lpwstr>
  </property>
  <property fmtid="{D5CDD505-2E9C-101B-9397-08002B2CF9AE}" pid="235" name="ZOTERO_BREF_Fi6PIKpddJYK_3">
    <vt:lpwstr>r","URL":"http://dl.acm.org/citation.cfm?id=41801","note":"reprinted in ICSE '87, Proceedings of the 9th International Conference on Software Engineering","author":[{"family":"Royce","given":"Winston W."}],"issued":{"date-parts":[["1970"]]},"accessed":{"d</vt:lpwstr>
  </property>
  <property fmtid="{D5CDD505-2E9C-101B-9397-08002B2CF9AE}" pid="236" name="ZOTERO_BREF_Fi6PIKpddJYK_4">
    <vt:lpwstr>ate-parts":[["2014",1,13]]}}}],"schema":"https://github.com/citation-style-language/schema/raw/master/csl-citation.json"}</vt:lpwstr>
  </property>
  <property fmtid="{D5CDD505-2E9C-101B-9397-08002B2CF9AE}" pid="237" name="ZOTERO_BREF_FiKjJKbpbQFq_1">
    <vt:lpwstr/>
  </property>
  <property fmtid="{D5CDD505-2E9C-101B-9397-08002B2CF9AE}" pid="238" name="ZOTERO_BREF_Fr3jAG5G4YKc_1">
    <vt:lpwstr>ZOTERO_BIBL {"custom":[]} CSL_BIBLIOGRAPHY</vt:lpwstr>
  </property>
  <property fmtid="{D5CDD505-2E9C-101B-9397-08002B2CF9AE}" pid="239" name="ZOTERO_BREF_FrIceNYxAs4Z_1">
    <vt:lpwstr>ZOTERO_ITEM CSL_CITATION {"citationID":"Sdx73Njt","properties":{"formattedCitation":"(Alexander, 1966, p. 51)","plainCitation":"(Alexander, 1966, p. 51)"},"citationItems":[{"id":1810,"uris":["http://zotero.org/users/10578/items/XFS9ZWVV"],"uri":["http://z</vt:lpwstr>
  </property>
  <property fmtid="{D5CDD505-2E9C-101B-9397-08002B2CF9AE}" pid="240" name="ZOTERO_BREF_FrIceNYxAs4Z_2">
    <vt:lpwstr>otero.org/users/10578/items/XFS9ZWVV"],"itemData":{"id":1810,"type":"article-journal","title":"A City is Not a Tree","container-title":"Design","page":"46-55","volume":"206","URL":"http://vads.ac.uk/diad/article.php?year=1966&amp;title=206&amp;article=d.206.27","</vt:lpwstr>
  </property>
  <property fmtid="{D5CDD505-2E9C-101B-9397-08002B2CF9AE}" pid="241" name="ZOTERO_BREF_FrIceNYxAs4Z_3">
    <vt:lpwstr>author":[{"family":"Alexander","given":"Christopher"}],"issued":{"date-parts":[["1966"]]}},"locator":"51","label":"page"}],"schema":"https://github.com/citation-style-language/schema/raw/master/csl-citation.json"}</vt:lpwstr>
  </property>
  <property fmtid="{D5CDD505-2E9C-101B-9397-08002B2CF9AE}" pid="242" name="ZOTERO_BREF_G6d1fUox0DWf_1">
    <vt:lpwstr>ZOTERO_ITEM CSL_CITATION {"citationID":"Bcha11Rv","properties":{"formattedCitation":"(Alexander, 1979, p. 127)","plainCitation":"(Alexander, 1979, p. 127)"},"citationItems":[{"id":1391,"uris":["http://zotero.org/users/10578/items/TE8TRH3R"],"uri":["http:/</vt:lpwstr>
  </property>
  <property fmtid="{D5CDD505-2E9C-101B-9397-08002B2CF9AE}" pid="243" name="ZOTERO_BREF_G6d1fUox0DWf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244" name="ZOTERO_BREF_G6d1fUox0DWf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245" name="ZOTERO_BREF_G6d1fUox0DWf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246" name="ZOTERO_BREF_G6d1fUox0DWf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247" name="ZOTERO_BREF_G6d1fUox0DWf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248" name="ZOTERO_BREF_G6d1fUox0DWf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249" name="ZOTERO_BREF_G6d1fUox0DWf_8">
    <vt:lpwstr>lls, and as our faces are.\"","URL":"http://books.google.ca/books?id=H6CE9hlbO8sC","ISBN":"978-0-19-502402-9","language":"en","author":[{"family":"Alexander","given":"Christopher"}],"issued":{"date-parts":[["1979"]]}},"locator":"127","label":"page"}],"sch</vt:lpwstr>
  </property>
  <property fmtid="{D5CDD505-2E9C-101B-9397-08002B2CF9AE}" pid="250" name="ZOTERO_BREF_G6d1fUox0DWf_9">
    <vt:lpwstr>ema":"https://github.com/citation-style-language/schema/raw/master/csl-citation.json"}</vt:lpwstr>
  </property>
  <property fmtid="{D5CDD505-2E9C-101B-9397-08002B2CF9AE}" pid="251" name="ZOTERO_BREF_HR2h4Y3YyoHr_1">
    <vt:lpwstr>ZOTERO_ITEM CSL_CITATION {"citationID":"kTkCQ72O","properties":{"formattedCitation":"(Blattner, 2005, p. 320)","plainCitation":"(Blattner, 2005, p. 320)"},"citationItems":[{"id":16631,"uris":["http://zotero.org/users/10578/items/AFPDEWDQ"],"uri":["http://</vt:lpwstr>
  </property>
  <property fmtid="{D5CDD505-2E9C-101B-9397-08002B2CF9AE}" pid="252" name="ZOTERO_BREF_HR2h4Y3YyoHr_2">
    <vt:lpwstr>zotero.org/users/10578/items/AFPDEWDQ"],"itemData":{"id":16631,"type":"chapter","title":"Temporality","container-title":"A Companion to Heidegger","publisher":"Wiley-Blackwell","page":"311-324","URL":"http://wiley.com/WileyCDA/WileyTitle/productCd-1405110</vt:lpwstr>
  </property>
  <property fmtid="{D5CDD505-2E9C-101B-9397-08002B2CF9AE}" pid="253" name="ZOTERO_BREF_HR2h4Y3YyoHr_3">
    <vt:lpwstr>929.html","ISBN":"978-1-4051-1092-1","author":[{"family":"Blattner","given":"William"}],"editor":[{"family":"Dreyfus","given":"Hubert L."},{"family":"Wrathall","given":"Mark A."}],"issued":{"date-parts":[["2005"]]},"accessed":{"date-parts":[["2016",9,25]]</vt:lpwstr>
  </property>
  <property fmtid="{D5CDD505-2E9C-101B-9397-08002B2CF9AE}" pid="254" name="ZOTERO_BREF_HR2h4Y3YyoHr_4">
    <vt:lpwstr>}},"locator":"320","label":"page"}],"schema":"https://github.com/citation-style-language/schema/raw/master/csl-citation.json"}</vt:lpwstr>
  </property>
  <property fmtid="{D5CDD505-2E9C-101B-9397-08002B2CF9AE}" pid="255" name="ZOTERO_BREF_Iy1oJxMxyaAh_1">
    <vt:lpwstr/>
  </property>
  <property fmtid="{D5CDD505-2E9C-101B-9397-08002B2CF9AE}" pid="256" name="ZOTERO_BREF_J0AbdYUVxaXx_1">
    <vt:lpwstr>ZOTERO_ITEM CSL_CITATION {"citationID":"h96iRln4","properties":{"formattedCitation":"(Alexander, 1979, p. 253)","plainCitation":"(Alexander, 1979, p. 253)"},"citationItems":[{"id":1391,"uris":["http://zotero.org/users/10578/items/TE8TRH3R"],"uri":["http:/</vt:lpwstr>
  </property>
  <property fmtid="{D5CDD505-2E9C-101B-9397-08002B2CF9AE}" pid="257" name="ZOTERO_BREF_J0AbdYUVxaXx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258" name="ZOTERO_BREF_J0AbdYUVxaXx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259" name="ZOTERO_BREF_J0AbdYUVxaXx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260" name="ZOTERO_BREF_J0AbdYUVxaXx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261" name="ZOTERO_BREF_J0AbdYUVxaXx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262" name="ZOTERO_BREF_J0AbdYUVxaXx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263" name="ZOTERO_BREF_J0AbdYUVxaXx_8">
    <vt:lpwstr>lls, and as our faces are.\"","URL":"http://books.google.ca/books?id=H6CE9hlbO8sC","ISBN":"978-0-19-502402-9","language":"en","author":[{"family":"Alexander","given":"Christopher"}],"issued":{"date-parts":[["1979"]]}},"locator":"253","label":"page"}],"sch</vt:lpwstr>
  </property>
  <property fmtid="{D5CDD505-2E9C-101B-9397-08002B2CF9AE}" pid="264" name="ZOTERO_BREF_J0AbdYUVxaXx_9">
    <vt:lpwstr>ema":"https://github.com/citation-style-language/schema/raw/master/csl-citation.json"}</vt:lpwstr>
  </property>
  <property fmtid="{D5CDD505-2E9C-101B-9397-08002B2CF9AE}" pid="265" name="ZOTERO_BREF_K8sGTlhn5c8K_1">
    <vt:lpwstr>ZOTERO_ITEM CSL_CITATION {"citationID":"WWg9xIvh","properties":{"formattedCitation":"(Haumer, 2005)","plainCitation":"(Haumer, 2005)"},"citationItems":[{"id":1000,"uris":["http://zotero.org/users/10578/items/DZ6J9AJT"],"uri":["http://zotero.org/users/1057</vt:lpwstr>
  </property>
  <property fmtid="{D5CDD505-2E9C-101B-9397-08002B2CF9AE}" pid="266" name="ZOTERO_BREF_K8sGTlhn5c8K_2">
    <vt:lpwstr>8/items/DZ6J9AJT"],"itemData":{"id":1000,"type":"webpage","title":"IBM Rational Method Composer: Part 1: Key concepts","container-title":"IBM developerWorks","URL":"http://www.ibm.com/developerworks/rational/library/dec05/haumer/","shortTitle":"IBM Ration</vt:lpwstr>
  </property>
  <property fmtid="{D5CDD505-2E9C-101B-9397-08002B2CF9AE}" pid="267" name="ZOTERO_BREF_K8sGTlhn5c8K_3">
    <vt:lpwstr>al Method Composer","author":[{"family":"Haumer","given":"Peter"}],"issued":{"date-parts":[["2005"]]},"accessed":{"date-parts":[["2011",2,2]]}}}],"schema":"https://github.com/citation-style-language/schema/raw/master/csl-citation.json"}</vt:lpwstr>
  </property>
  <property fmtid="{D5CDD505-2E9C-101B-9397-08002B2CF9AE}" pid="268" name="ZOTERO_BREF_KSibKpQBYZTc_1">
    <vt:lpwstr>ZOTERO_ITEM CSL_CITATION {"citationID":"kqbekiyx","properties":{"formattedCitation":"(Holling, 2001, p. 394)","plainCitation":"(Holling, 2001, p. 394)"},"citationItems":[{"id":641,"uris":["http://zotero.org/users/10578/items/4WVJ6ZIT"],"uri":["http://zote</vt:lpwstr>
  </property>
  <property fmtid="{D5CDD505-2E9C-101B-9397-08002B2CF9AE}" pid="269" name="ZOTERO_BREF_KSibKpQBYZTc_2">
    <vt:lpwstr>ro.org/users/10578/items/4WVJ6ZIT"],"itemData":{"id":641,"type":"article-journal","title":"Understanding the Complexity of Economic, Ecological, and Social Systems","container-title":"Ecosystems","page":"390-405","volume":"4","issue":"5","source":"CrossRe</vt:lpwstr>
  </property>
  <property fmtid="{D5CDD505-2E9C-101B-9397-08002B2CF9AE}" pid="270" name="ZOTERO_BREF_KSibKpQBYZTc_3">
    <vt:lpwstr>f","URL":"http://dx.doi.org/10.1007/s10021-001-0101-5","DOI":"10.1007/s10021-001-0101-5","ISSN":"1432-9840","journalAbbreviation":"Ecosystems","author":[{"family":"Holling","given":"C. S."}],"issued":{"date-parts":[["2001"]]},"accessed":{"date-parts":[["2</vt:lpwstr>
  </property>
  <property fmtid="{D5CDD505-2E9C-101B-9397-08002B2CF9AE}" pid="271" name="ZOTERO_BREF_KSibKpQBYZTc_4">
    <vt:lpwstr>010",8,10]]}},"locator":"394","label":"page"}],"schema":"https://github.com/citation-style-language/schema/raw/master/csl-citation.json"}</vt:lpwstr>
  </property>
  <property fmtid="{D5CDD505-2E9C-101B-9397-08002B2CF9AE}" pid="272" name="ZOTERO_BREF_Kq31TYxHuzP2_1">
    <vt:lpwstr>ZOTERO_ITEM CSL_CITATION {"citationID":"lurRdszf","properties":{"formattedCitation":"(Holling, 2001, p. 398)","plainCitation":"(Holling, 2001, p. 398)"},"citationItems":[{"id":641,"uris":["http://zotero.org/users/10578/items/4WVJ6ZIT"],"uri":["http://zote</vt:lpwstr>
  </property>
  <property fmtid="{D5CDD505-2E9C-101B-9397-08002B2CF9AE}" pid="273" name="ZOTERO_BREF_Kq31TYxHuzP2_2">
    <vt:lpwstr>ro.org/users/10578/items/4WVJ6ZIT"],"itemData":{"id":641,"type":"article-journal","title":"Understanding the Complexity of Economic, Ecological, and Social Systems","container-title":"Ecosystems","page":"390-405","volume":"4","issue":"5","source":"CrossRe</vt:lpwstr>
  </property>
  <property fmtid="{D5CDD505-2E9C-101B-9397-08002B2CF9AE}" pid="274" name="ZOTERO_BREF_Kq31TYxHuzP2_3">
    <vt:lpwstr>f","URL":"http://dx.doi.org/10.1007/s10021-001-0101-5","DOI":"10.1007/s10021-001-0101-5","ISSN":"1432-9840","journalAbbreviation":"Ecosystems","author":[{"family":"Holling","given":"C. S."}],"issued":{"date-parts":[["2001"]]},"accessed":{"date-parts":[["2</vt:lpwstr>
  </property>
  <property fmtid="{D5CDD505-2E9C-101B-9397-08002B2CF9AE}" pid="275" name="ZOTERO_BREF_Kq31TYxHuzP2_4">
    <vt:lpwstr>010",8,10]]}},"locator":"398","label":"page"}],"schema":"https://github.com/citation-style-language/schema/raw/master/csl-citation.json"}</vt:lpwstr>
  </property>
  <property fmtid="{D5CDD505-2E9C-101B-9397-08002B2CF9AE}" pid="276" name="ZOTERO_BREF_LqxkD7RG6MgH_1">
    <vt:lpwstr>ZOTERO_ITEM CSL_CITATION {"citationID":"8jFwBXvb","properties":{"formattedCitation":"{\\rtf (S\\uc0\\u225{}nchez, 1994, p. 117)}","plainCitation":"(Sánchez, 1994, p. 117)"},"citationItems":[{"id":16570,"uris":["http://zotero.org/users/10578/items/N3RI5HDM</vt:lpwstr>
  </property>
  <property fmtid="{D5CDD505-2E9C-101B-9397-08002B2CF9AE}" pid="277" name="ZOTERO_BREF_LqxkD7RG6MgH_2">
    <vt:lpwstr>"],"uri":["http://zotero.org/users/10578/items/N3RI5HDM"],"itemData":{"id":16570,"type":"chapter","title":"Puerto Ricans and the Door of Participation in US Politics","container-title":"Handbook of Hispanic Cultures in the United States: Sociology","publi</vt:lpwstr>
  </property>
  <property fmtid="{D5CDD505-2E9C-101B-9397-08002B2CF9AE}" pid="278" name="ZOTERO_BREF_LqxkD7RG6MgH_3">
    <vt:lpwstr>sher-place":"Arte Publico Press","page":"110–132","source":"Google Scholar","event-place":"Arte Publico Press","URL":"https://books.google.com/books?id=Y-iZai2uv_sC","author":[{"family":"Sánchez","given":"José Ramón"}],"editor":[{"family":"Kanellos","give</vt:lpwstr>
  </property>
  <property fmtid="{D5CDD505-2E9C-101B-9397-08002B2CF9AE}" pid="279" name="ZOTERO_BREF_LqxkD7RG6MgH_4">
    <vt:lpwstr>n":"Nicolás"}],"issued":{"date-parts":[["1994"]]},"accessed":{"date-parts":[["2016",8,27]]}},"locator":"117","label":"page"}],"schema":"https://github.com/citation-style-language/schema/raw/master/csl-citation.json"}</vt:lpwstr>
  </property>
  <property fmtid="{D5CDD505-2E9C-101B-9397-08002B2CF9AE}" pid="280" name="ZOTERO_BREF_MECNgiEs5pbX_1">
    <vt:lpwstr>ZOTERO_ITEM CSL_CITATION {"citationID":"h9jBIPyE","properties":{"formattedCitation":"(Alexander et al., 1977, p. ix)","plainCitation":"(Alexander et al., 1977, p. ix)"},"citationItems":[{"id":77,"uris":["http://zotero.org/users/10578/items/TXA5TXXW"],"uri</vt:lpwstr>
  </property>
  <property fmtid="{D5CDD505-2E9C-101B-9397-08002B2CF9AE}" pid="281" name="ZOTERO_BREF_MECNgiEs5pbX_2">
    <vt:lpwstr>":["http://zotero.org/users/10578/items/TXA5TXXW"],"itemData":{"id":77,"type":"book","title":"A Pattern Language: Towns, Building, Construction","publisher":"Oxford University Press US","publisher-place":"New York","source":"Google Books","event-place":"N</vt:lpwstr>
  </property>
  <property fmtid="{D5CDD505-2E9C-101B-9397-08002B2CF9AE}" pid="282" name="ZOTERO_BREF_MECNgiEs5pbX_3">
    <vt:lpwstr>ew York","URL":"http://books.google.ca/books?id=hwAHmktpk5IC","ISBN":"0-19-501919-9","author":[{"family":"Alexander","given":"Christopher"},{"family":"Ishikawa","given":"Sara"},{"family":"Silverstein","given":"Murray"}],"issued":{"date-parts":[["1977"]]}}</vt:lpwstr>
  </property>
  <property fmtid="{D5CDD505-2E9C-101B-9397-08002B2CF9AE}" pid="283" name="ZOTERO_BREF_MECNgiEs5pbX_4">
    <vt:lpwstr>,"locator":"ix","label":"page"}],"schema":"https://github.com/citation-style-language/schema/raw/master/csl-citation.json"}</vt:lpwstr>
  </property>
  <property fmtid="{D5CDD505-2E9C-101B-9397-08002B2CF9AE}" pid="284" name="ZOTERO_BREF_MXw2jndFlGNN_1">
    <vt:lpwstr>ZOTERO_ITEM CSL_CITATION {"citationID":"UFG8Q5Vq","properties":{"formattedCitation":"(Alexander et al., 1968, p. 22)","plainCitation":"(Alexander et al., 1968, p. 22)"},"citationItems":[{"id":1808,"uris":["http://zotero.org/users/10578/items/Q37EGESQ"],"u</vt:lpwstr>
  </property>
  <property fmtid="{D5CDD505-2E9C-101B-9397-08002B2CF9AE}" pid="285" name="ZOTERO_BREF_MXw2jndFlGNN_2">
    <vt:lpwstr>ri":["http://zotero.org/users/10578/items/Q37EGESQ"],"itemData":{"id":1808,"type":"book","title":"A Pattern Language which Generates Multi-service Centers","publisher":"Center for Environmental Structure","number-of-pages":"306","source":"Google Books","U</vt:lpwstr>
  </property>
  <property fmtid="{D5CDD505-2E9C-101B-9397-08002B2CF9AE}" pid="286" name="ZOTERO_BREF_MXw2jndFlGNN_3">
    <vt:lpwstr>RL":"http://books.google.ca/books?id=FGdPAAAAMAAJ","language":"en","author":[{"family":"Alexander","given":"Christopher"},{"family":"Ishikawa","given":"Sara"},{"family":"Silverstein","given":"Murray"}],"issued":{"date-parts":[["1968"]]}},"locator":"22","l</vt:lpwstr>
  </property>
  <property fmtid="{D5CDD505-2E9C-101B-9397-08002B2CF9AE}" pid="287" name="ZOTERO_BREF_MXw2jndFlGNN_4">
    <vt:lpwstr>abel":"page"}],"schema":"https://github.com/citation-style-language/schema/raw/master/csl-citation.json"}</vt:lpwstr>
  </property>
  <property fmtid="{D5CDD505-2E9C-101B-9397-08002B2CF9AE}" pid="288" name="ZOTERO_BREF_N49pG3D4Odpy_1">
    <vt:lpwstr>ZOTERO_ITEM CSL_CITATION {"citationID":"XZfMdymh","properties":{"formattedCitation":"{\\rtf (Alexander, Silverstein, Angel, Ishikawa, &amp; Abrams, 1975, pp. 150\\uc0\\u8211{}151)}","plainCitation":"(Alexander, Silverstein, Angel, Ishikawa, &amp; Abrams, 1975, pp</vt:lpwstr>
  </property>
  <property fmtid="{D5CDD505-2E9C-101B-9397-08002B2CF9AE}" pid="289" name="ZOTERO_BREF_N49pG3D4Odpy_10">
    <vt:lpwstr>","label":"page"}],"schema":"https://github.com/citation-style-language/schema/raw/master/csl-citation.json"}</vt:lpwstr>
  </property>
  <property fmtid="{D5CDD505-2E9C-101B-9397-08002B2CF9AE}" pid="290" name="ZOTERO_BREF_N49pG3D4Odpy_2">
    <vt:lpwstr>. 150–151)"},"citationItems":[{"id":1805,"uris":["http://zotero.org/users/10578/items/7RJZ7GGS"],"uri":["http://zotero.org/users/10578/items/7RJZ7GGS"],"itemData":{"id":1805,"type":"book","title":"The Oregon Experiment","publisher":"Oxford University Pres</vt:lpwstr>
  </property>
  <property fmtid="{D5CDD505-2E9C-101B-9397-08002B2CF9AE}" pid="291" name="ZOTERO_BREF_N49pG3D4Odpy_3">
    <vt:lpwstr>s","number-of-pages":"220","source":"Google Books","abstract":"After a ten-year silence, Christopher Alexander and his colleagues at the Center for Environmental Structure are not publishing a major statement in the form of three works which will, in thei</vt:lpwstr>
  </property>
  <property fmtid="{D5CDD505-2E9C-101B-9397-08002B2CF9AE}" pid="292" name="ZOTERO_BREF_N49pG3D4Odpy_4">
    <vt:lpwstr>r words, \"lay the basis for an entirely new approach to architecture, building, and planning, which will, we hope, replace existing ideas and practices entirely.\" The three books are The Timeless Way of Building, A Pattern Language, and The Oregon Exper</vt:lpwstr>
  </property>
  <property fmtid="{D5CDD505-2E9C-101B-9397-08002B2CF9AE}" pid="293" name="ZOTERO_BREF_N49pG3D4Odpy_5">
    <vt:lpwstr>iment.  At the core of these books is the idea that people should design for themselves their own houses, streets, and communities. This idea may be radical (it implies a radical transformation fo the architectural profession) but it comes simply from the</vt:lpwstr>
  </property>
  <property fmtid="{D5CDD505-2E9C-101B-9397-08002B2CF9AE}" pid="294" name="ZOTERO_BREF_N49pG3D4Odpy_6">
    <vt:lpwstr> observation that most of the wonderful places of the world were not made by architects but by the people.  This book is the master plan for the University of Oregon, and is now being implemented at that university; but it shows at the same time how any c</vt:lpwstr>
  </property>
  <property fmtid="{D5CDD505-2E9C-101B-9397-08002B2CF9AE}" pid="295" name="ZOTERO_BREF_N49pG3D4Odpy_7">
    <vt:lpwstr>ommunity the size of a university or small town might go about designing its own future environment-with all members of the community participating personally. It is a concrete example at the Center's theories in practice, showing in simple detail, with n</vt:lpwstr>
  </property>
  <property fmtid="{D5CDD505-2E9C-101B-9397-08002B2CF9AE}" pid="296" name="ZOTERO_BREF_N49pG3D4Odpy_8">
    <vt:lpwstr>umerous illustrations, how to implement six guiding principles: organic order, participation, piecemeal growth, patterns, diagnosis, and coordination.","URL":"http://books.google.ca/books?id=u2NSI4vSu_IC","ISBN":"978-0-19-501824-0","language":"en","author</vt:lpwstr>
  </property>
  <property fmtid="{D5CDD505-2E9C-101B-9397-08002B2CF9AE}" pid="297" name="ZOTERO_BREF_N49pG3D4Odpy_9">
    <vt:lpwstr>":[{"family":"Alexander","given":"Christopher"},{"family":"Silverstein","given":"Murray"},{"family":"Angel","given":"Schlomo"},{"family":"Ishikawa","given":"Sara"},{"family":"Abrams","given":"Denny"}],"issued":{"date-parts":[["1975"]]}},"locator":"150-151</vt:lpwstr>
  </property>
  <property fmtid="{D5CDD505-2E9C-101B-9397-08002B2CF9AE}" pid="298" name="ZOTERO_BREF_NABc3GzKV4ik_1">
    <vt:lpwstr>ZOTERO_ITEM CSL_CITATION {"citationID":"hNZKTmkT","properties":{"formattedCitation":"(Maglio, Vargo, Caswell, &amp; Spohrer, 2009, p. 399)","plainCitation":"(Maglio, Vargo, Caswell, &amp; Spohrer, 2009, p. 399)"},"citationItems":[{"id":16600,"uris":["http://zoter</vt:lpwstr>
  </property>
  <property fmtid="{D5CDD505-2E9C-101B-9397-08002B2CF9AE}" pid="299" name="ZOTERO_BREF_NABc3GzKV4ik_2">
    <vt:lpwstr>o.org/users/10578/items/ZIFV2XAH"],"uri":["http://zotero.org/users/10578/items/ZIFV2XAH"],"itemData":{"id":16600,"type":"article-journal","title":"The service system is the basic abstraction of service science","container-title":"Information Systems and e</vt:lpwstr>
  </property>
  <property fmtid="{D5CDD505-2E9C-101B-9397-08002B2CF9AE}" pid="300" name="ZOTERO_BREF_NABc3GzKV4ik_3">
    <vt:lpwstr>-business Management","page":"395–406","volume":"7","issue":"4","source":"Google Scholar","URL":"http://dx.doi.org/10.1007/s10257-008-0105-1","DOI":"10.1007/s10257-008-0105-1","author":[{"family":"Maglio","given":"Paul P."},{"family":"Vargo","given":"Step</vt:lpwstr>
  </property>
  <property fmtid="{D5CDD505-2E9C-101B-9397-08002B2CF9AE}" pid="301" name="ZOTERO_BREF_NABc3GzKV4ik_4">
    <vt:lpwstr>hen L."},{"family":"Caswell","given":"Nathan"},{"family":"Spohrer","given":"Jim"}],"issued":{"date-parts":[["2009"]]},"accessed":{"date-parts":[["2016",9,12]]}},"locator":"399","label":"page"}],"schema":"https://github.com/citation-style-language/schema/r</vt:lpwstr>
  </property>
  <property fmtid="{D5CDD505-2E9C-101B-9397-08002B2CF9AE}" pid="302" name="ZOTERO_BREF_NABc3GzKV4ik_5">
    <vt:lpwstr>aw/master/csl-citation.json"}</vt:lpwstr>
  </property>
  <property fmtid="{D5CDD505-2E9C-101B-9397-08002B2CF9AE}" pid="303" name="ZOTERO_BREF_NQckAaubdL9F_1">
    <vt:lpwstr>ZOTERO_ITEM CSL_CITATION {"citationID":"n4mVVgdA","properties":{"formattedCitation":"(Alexander, 1966, p. 48)","plainCitation":"(Alexander, 1966, p. 48)"},"citationItems":[{"id":1810,"uris":["http://zotero.org/users/10578/items/XFS9ZWVV"],"uri":["http://z</vt:lpwstr>
  </property>
  <property fmtid="{D5CDD505-2E9C-101B-9397-08002B2CF9AE}" pid="304" name="ZOTERO_BREF_NQckAaubdL9F_2">
    <vt:lpwstr>otero.org/users/10578/items/XFS9ZWVV"],"itemData":{"id":1810,"type":"article-journal","title":"A City is Not a Tree","container-title":"Design","page":"46-55","volume":"206","URL":"http://vads.ac.uk/diad/article.php?year=1966&amp;title=206&amp;article=d.206.27","</vt:lpwstr>
  </property>
  <property fmtid="{D5CDD505-2E9C-101B-9397-08002B2CF9AE}" pid="305" name="ZOTERO_BREF_NQckAaubdL9F_3">
    <vt:lpwstr>author":[{"family":"Alexander","given":"Christopher"}],"issued":{"date-parts":[["1966"]]}},"locator":"48","label":"page"}],"schema":"https://github.com/citation-style-language/schema/raw/master/csl-citation.json"}</vt:lpwstr>
  </property>
  <property fmtid="{D5CDD505-2E9C-101B-9397-08002B2CF9AE}" pid="306" name="ZOTERO_BREF_NtiDbF2IAUEG_1">
    <vt:lpwstr>ZOTERO_ITEM CSL_CITATION {"citationID":"enwyIi2y","properties":{"formattedCitation":"(Brand, 1994)","plainCitation":"(Brand, 1994)"},"citationItems":[{"id":100,"uris":["http://zotero.org/users/10578/items/I6UFPNAF"],"uri":["http://zotero.org/users/10578/i</vt:lpwstr>
  </property>
  <property fmtid="{D5CDD505-2E9C-101B-9397-08002B2CF9AE}" pid="307" name="ZOTERO_BREF_NtiDbF2IAUEG_2">
    <vt:lpwstr>tems/I6UFPNAF"],"itemData":{"id":100,"type":"book","title":"How buildings learn: what happens after they're built","publisher":"Viking","publisher-place":"New York","source":"Google Scholar","event-place":"New York","URL":"http://books.google.com/books?id</vt:lpwstr>
  </property>
  <property fmtid="{D5CDD505-2E9C-101B-9397-08002B2CF9AE}" pid="308" name="ZOTERO_BREF_NtiDbF2IAUEG_3">
    <vt:lpwstr>=zkgRgdVN2GIC","author":[{"family":"Brand","given":"Stewart"}],"issued":{"date-parts":[["1994"]]}}}],"schema":"https://github.com/citation-style-language/schema/raw/master/csl-citation.json"}</vt:lpwstr>
  </property>
  <property fmtid="{D5CDD505-2E9C-101B-9397-08002B2CF9AE}" pid="309" name="ZOTERO_BREF_OJW1F1XbX4Dg_1">
    <vt:lpwstr>ZOTERO_ITEM CSL_CITATION {"citationID":"SKnHcY61","properties":{"formattedCitation":"{\\rtf (Kunz &amp; Rittel, 1970, pp. 3\\uc0\\u8211{}4)}","plainCitation":"(Kunz &amp; Rittel, 1970, pp. 3–4)"},"citationItems":[{"id":16588,"uris":["http://zotero.org/users/10578</vt:lpwstr>
  </property>
  <property fmtid="{D5CDD505-2E9C-101B-9397-08002B2CF9AE}" pid="310" name="ZOTERO_BREF_OJW1F1XbX4Dg_2">
    <vt:lpwstr>/items/DWMBD6AE"],"uri":["http://zotero.org/users/10578/items/DWMBD6AE"],"itemData":{"id":16588,"type":"book","title":"Issues as elements of information systems","publisher":"Institute of Urban and Regional Development, University of California, Berkeley"</vt:lpwstr>
  </property>
  <property fmtid="{D5CDD505-2E9C-101B-9397-08002B2CF9AE}" pid="311" name="ZOTERO_BREF_OJW1F1XbX4Dg_3">
    <vt:lpwstr>,"volume":"131","source":"Google Scholar","author":[{"family":"Kunz","given":"Werner"},{"family":"Rittel","given":"Horst WJ"}],"issued":{"date-parts":[["1970"]]},"accessed":{"date-parts":[["2016",9,6]]}},"locator":"3-4","label":"page"}],"schema":"https://</vt:lpwstr>
  </property>
  <property fmtid="{D5CDD505-2E9C-101B-9397-08002B2CF9AE}" pid="312" name="ZOTERO_BREF_OJW1F1XbX4Dg_4">
    <vt:lpwstr>github.com/citation-style-language/schema/raw/master/csl-citation.json"}</vt:lpwstr>
  </property>
  <property fmtid="{D5CDD505-2E9C-101B-9397-08002B2CF9AE}" pid="313" name="ZOTERO_BREF_OcqDHN60JnYo_1">
    <vt:lpwstr>ZOTERO_ITEM CSL_CITATION {"citationID":"wcaATWth","properties":{"formattedCitation":"{\\rtf (Ng &amp; Smith, 2012, pp. 227\\uc0\\u8211{}228)}","plainCitation":"(Ng &amp; Smith, 2012, pp. 227–228)"},"citationItems":[{"id":1919,"uris":["http://zotero.org/users/1057</vt:lpwstr>
  </property>
  <property fmtid="{D5CDD505-2E9C-101B-9397-08002B2CF9AE}" pid="314" name="ZOTERO_BREF_OcqDHN60JnYo_2">
    <vt:lpwstr>8/items/TPENXIBX"],"uri":["http://zotero.org/users/10578/items/TPENXIBX"],"itemData":{"id":1919,"type":"chapter","title":"An Integrative Framework of Value","container-title":"Toward a Better Understanding of the Role of Value in Markets and Marketing","c</vt:lpwstr>
  </property>
  <property fmtid="{D5CDD505-2E9C-101B-9397-08002B2CF9AE}" pid="315" name="ZOTERO_BREF_OcqDHN60JnYo_3">
    <vt:lpwstr>ollection-title":"Review of Marketing Research","collection-number":"9","publisher":"Emerald Group Publishing Limited","page":"207-243","volume":"9","source":"emeraldinsight.com (Atypon)","URL":"http://dx.doi.org/10.1108/S1548-6435(2012)0000009011","autho</vt:lpwstr>
  </property>
  <property fmtid="{D5CDD505-2E9C-101B-9397-08002B2CF9AE}" pid="316" name="ZOTERO_BREF_OcqDHN60JnYo_4">
    <vt:lpwstr>r":[{"family":"Ng","given":"Irene C.L."},{"family":"Smith","given":"Laura A."}],"issued":{"date-parts":[["2012"]]},"accessed":{"date-parts":[["2014",9,2]]}},"locator":"227-228","label":"page"}],"schema":"https://github.com/citation-style-language/schema/r</vt:lpwstr>
  </property>
  <property fmtid="{D5CDD505-2E9C-101B-9397-08002B2CF9AE}" pid="317" name="ZOTERO_BREF_OcqDHN60JnYo_5">
    <vt:lpwstr>aw/master/csl-citation.json"}</vt:lpwstr>
  </property>
  <property fmtid="{D5CDD505-2E9C-101B-9397-08002B2CF9AE}" pid="318" name="ZOTERO_BREF_OwoRcP4ibR0o_1">
    <vt:lpwstr>ZOTERO_ITEM CSL_CITATION {"citationID":"Rsgch9cK","properties":{"formattedCitation":"(Alexander, 1979, p. 240)","plainCitation":"(Alexander, 1979, p. 240)"},"citationItems":[{"id":1391,"uris":["http://zotero.org/users/10578/items/TE8TRH3R"],"uri":["http:/</vt:lpwstr>
  </property>
  <property fmtid="{D5CDD505-2E9C-101B-9397-08002B2CF9AE}" pid="319" name="ZOTERO_BREF_OwoRcP4ibR0o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320" name="ZOTERO_BREF_OwoRcP4ibR0o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321" name="ZOTERO_BREF_OwoRcP4ibR0o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322" name="ZOTERO_BREF_OwoRcP4ibR0o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323" name="ZOTERO_BREF_OwoRcP4ibR0o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324" name="ZOTERO_BREF_OwoRcP4ibR0o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325" name="ZOTERO_BREF_OwoRcP4ibR0o_8">
    <vt:lpwstr>lls, and as our faces are.\"","URL":"http://books.google.ca/books?id=H6CE9hlbO8sC","ISBN":"978-0-19-502402-9","language":"en","author":[{"family":"Alexander","given":"Christopher"}],"issued":{"date-parts":[["1979"]]}},"locator":"240","label":"page"}],"sch</vt:lpwstr>
  </property>
  <property fmtid="{D5CDD505-2E9C-101B-9397-08002B2CF9AE}" pid="326" name="ZOTERO_BREF_OwoRcP4ibR0o_9">
    <vt:lpwstr>ema":"https://github.com/citation-style-language/schema/raw/master/csl-citation.json"}</vt:lpwstr>
  </property>
  <property fmtid="{D5CDD505-2E9C-101B-9397-08002B2CF9AE}" pid="327" name="ZOTERO_BREF_PCww3IAF1EQs_1">
    <vt:lpwstr>ZOTERO_ITEM CSL_CITATION {"citationID":"0NDjcXhR","properties":{"formattedCitation":"(Churchman, 1971)","plainCitation":"(Churchman, 1971)"},"citationItems":[{"id":25,"uris":["http://zotero.org/users/10578/items/P7CWQG5D"],"uri":["http://zotero.org/users/</vt:lpwstr>
  </property>
  <property fmtid="{D5CDD505-2E9C-101B-9397-08002B2CF9AE}" pid="328" name="ZOTERO_BREF_PCww3IAF1EQs_2">
    <vt:lpwstr>10578/items/P7CWQG5D"],"itemData":{"id":25,"type":"book","title":"The design of inquiring systems: basic concepts of systems and organization","publisher":"Basic Books","source":"Google Books","shortTitle":"The design of inquiring systems","author":[{"fam</vt:lpwstr>
  </property>
  <property fmtid="{D5CDD505-2E9C-101B-9397-08002B2CF9AE}" pid="329" name="ZOTERO_BREF_PCww3IAF1EQs_3">
    <vt:lpwstr>ily":"Churchman","given":"C. West"}],"issued":{"date-parts":[["1971"]]}}}],"schema":"https://github.com/citation-style-language/schema/raw/master/csl-citation.json"}</vt:lpwstr>
  </property>
  <property fmtid="{D5CDD505-2E9C-101B-9397-08002B2CF9AE}" pid="330" name="ZOTERO_BREF_QAVLwRIRBrEi_1">
    <vt:lpwstr>ZOTERO_ITEM CSL_CITATION {"citationID":"NuktZQVt","properties":{"formattedCitation":"(Rosenhead, 2006, p. 762)","plainCitation":"(Rosenhead, 2006, p. 762)"},"citationItems":[{"id":16635,"uris":["http://zotero.org/users/10578/items/MVKEFZUM"],"uri":["http:</vt:lpwstr>
  </property>
  <property fmtid="{D5CDD505-2E9C-101B-9397-08002B2CF9AE}" pid="331" name="ZOTERO_BREF_QAVLwRIRBrEi_2">
    <vt:lpwstr>//zotero.org/users/10578/items/MVKEFZUM"],"itemData":{"id":16635,"type":"article-journal","title":"Past, Present and Future of Problem Structuring Methods","container-title":"The Journal of the Operational Research Society","page":"759-765","volume":"57",</vt:lpwstr>
  </property>
  <property fmtid="{D5CDD505-2E9C-101B-9397-08002B2CF9AE}" pid="332" name="ZOTERO_BREF_QAVLwRIRBrEi_3">
    <vt:lpwstr>"issue":"7","source":"JSTOR","abstract":"To be able to exploit the future opportunities for Operational Research (OR), we need to prepare for them now. To conceptualize alternative futures for OR, we need to understand the potentialities of the present. T</vt:lpwstr>
  </property>
  <property fmtid="{D5CDD505-2E9C-101B-9397-08002B2CF9AE}" pid="333" name="ZOTERO_BREF_QAVLwRIRBrEi_4">
    <vt:lpwstr>o understand the present, we need to have a grasp of the past history that gave us the OR that we have, rather than some other analytic practice. OR was thrown up by a situation where traditional management methods were proving inadequate to handle the gr</vt:lpwstr>
  </property>
  <property fmtid="{D5CDD505-2E9C-101B-9397-08002B2CF9AE}" pid="334" name="ZOTERO_BREF_QAVLwRIRBrEi_5">
    <vt:lpwstr>owing complexity of organizational arrangements. Problem structuring methods (PSMs) in turn were generated out of a sense that the trajectory of OR had led it away from important areas of social decision-making. PSMs have made great strides but are still </vt:lpwstr>
  </property>
  <property fmtid="{D5CDD505-2E9C-101B-9397-08002B2CF9AE}" pid="335" name="ZOTERO_BREF_QAVLwRIRBrEi_6">
    <vt:lpwstr>encountering barriers to acceptance. This paper will explore the factors that presently constrain PSMs, and what developments could take them into new fields.","URL":"http://dx.doi.org/10.1057/palgrave.jors.2602206","DOI":"10.1057/palgrave.jors.2602206","</vt:lpwstr>
  </property>
  <property fmtid="{D5CDD505-2E9C-101B-9397-08002B2CF9AE}" pid="336" name="ZOTERO_BREF_QAVLwRIRBrEi_7">
    <vt:lpwstr>ISSN":"0160-5682","journalAbbreviation":"The Journal of the Operational Research Society","author":[{"family":"Rosenhead","given":"Jonathan"}],"issued":{"date-parts":[["2006"]]},"accessed":{"date-parts":[["2016",9,26]]}},"locator":"762","label":"page"}],"</vt:lpwstr>
  </property>
  <property fmtid="{D5CDD505-2E9C-101B-9397-08002B2CF9AE}" pid="337" name="ZOTERO_BREF_QAVLwRIRBrEi_8">
    <vt:lpwstr>schema":"https://github.com/citation-style-language/schema/raw/master/csl-citation.json"}</vt:lpwstr>
  </property>
  <property fmtid="{D5CDD505-2E9C-101B-9397-08002B2CF9AE}" pid="338" name="ZOTERO_BREF_QHQZnD64w9dU_1">
    <vt:lpwstr>ZOTERO_ITEM CSL_CITATION {"citationID":"yI27glgG","properties":{"formattedCitation":"(Ingold, 2000c, p. 219)","plainCitation":"(Ingold, 2000c, p. 219)"},"citationItems":[{"id":16370,"uris":["http://zotero.org/users/10578/items/2K92N7KE"],"uri":["http://zo</vt:lpwstr>
  </property>
  <property fmtid="{D5CDD505-2E9C-101B-9397-08002B2CF9AE}" pid="339" name="ZOTERO_BREF_QHQZnD64w9dU_2">
    <vt:lpwstr>tero.org/users/10578/items/2K92N7KE"],"itemData":{"id":16370,"type":"chapter","title":"To journey along a way of life: Maps, wayfinding and navigation","container-title":"The Perception of the Environment: Essays on Livelihood, Dwelling and Skill","publis</vt:lpwstr>
  </property>
  <property fmtid="{D5CDD505-2E9C-101B-9397-08002B2CF9AE}" pid="340" name="ZOTERO_BREF_QHQZnD64w9dU_3">
    <vt:lpwstr>her":"Routledge","page":"219-242","source":"Google Books","abstract":"In this work Tim Ingold offers a persuasive approach to understanding how human beings perceive their surroundings. He argues that what we are used to calling cultural variation consist</vt:lpwstr>
  </property>
  <property fmtid="{D5CDD505-2E9C-101B-9397-08002B2CF9AE}" pid="341" name="ZOTERO_BREF_QHQZnD64w9dU_4">
    <vt:lpwstr>s, in the first place, of variations in skill. Neither innate nor acquired, skills are grown, incorporated into the human organism through practice and training in an environment. They are thus as much biological as cultural. The twenty-three essays compr</vt:lpwstr>
  </property>
  <property fmtid="{D5CDD505-2E9C-101B-9397-08002B2CF9AE}" pid="342" name="ZOTERO_BREF_QHQZnD64w9dU_5">
    <vt:lpwstr>ising this book focus in turn on the procurement of livelihood, on what it means to 'dwell', and on the nature of skill, weaving together approaches from social anthropology, ecological psychology, developmental biology and phenomenology in a way that has</vt:lpwstr>
  </property>
  <property fmtid="{D5CDD505-2E9C-101B-9397-08002B2CF9AE}" pid="343" name="ZOTERO_BREF_QHQZnD64w9dU_6">
    <vt:lpwstr> never been attempted before. The book is set to revolutionise the way we think about what is 'biological' and 'cultural' in humans, about evolution and history, and indeed about what it means for human beings - at once organisms and persons - to inhabit </vt:lpwstr>
  </property>
  <property fmtid="{D5CDD505-2E9C-101B-9397-08002B2CF9AE}" pid="344" name="ZOTERO_BREF_QHQZnD64w9dU_7">
    <vt:lpwstr>an environment. The Perception of the Environment will be essential reading not only for anthropologists but also for biologists, psychologists, archaeologists, geographers and philosophers.","URL":"https://books.google.com/books?id=_4p-UhXZV70C","ISBN":"</vt:lpwstr>
  </property>
  <property fmtid="{D5CDD505-2E9C-101B-9397-08002B2CF9AE}" pid="345" name="ZOTERO_BREF_QHQZnD64w9dU_8">
    <vt:lpwstr>978-0-415-22832-9","language":"en","author":[{"family":"Ingold","given":"Tim"}],"issued":{"date-parts":[["2000"]]}},"locator":"219","label":"page"}],"schema":"https://github.com/citation-style-language/schema/raw/master/csl-citation.json"}</vt:lpwstr>
  </property>
  <property fmtid="{D5CDD505-2E9C-101B-9397-08002B2CF9AE}" pid="346" name="ZOTERO_BREF_QOTLcVXsJ5gt_1">
    <vt:lpwstr>ZOTERO_ITEM CSL_CITATION {"citationID":"tJmmen3l","properties":{"formattedCitation":"(Mayr, 1988b)","plainCitation":"(Mayr, 1988b)"},"citationItems":[{"id":16505,"uris":["http://zotero.org/users/10578/items/5DFS7ATV"],"uri":["http://zotero.org/users/10578</vt:lpwstr>
  </property>
  <property fmtid="{D5CDD505-2E9C-101B-9397-08002B2CF9AE}" pid="347" name="ZOTERO_BREF_QOTLcVXsJ5gt_2">
    <vt:lpwstr>/items/5DFS7ATV"],"itemData":{"id":16505,"type":"chapter","title":"The Multiple Meanings of Teleological","container-title":"Toward a New Philosophy of Biology: Observations of an Evolutionist","publisher":"Harvard University Press","page":"38-66","source</vt:lpwstr>
  </property>
  <property fmtid="{D5CDD505-2E9C-101B-9397-08002B2CF9AE}" pid="348" name="ZOTERO_BREF_QOTLcVXsJ5gt_3">
    <vt:lpwstr>":"Google Books","abstract":"This is a beautifully presented collection of twenty-eight articles and essays, elegantly introduced and filled with important neologisms all contributing to clarity.","URL":"https://books.google.com/books?id=5f5kg_w2dJ4C","IS</vt:lpwstr>
  </property>
  <property fmtid="{D5CDD505-2E9C-101B-9397-08002B2CF9AE}" pid="349" name="ZOTERO_BREF_QOTLcVXsJ5gt_4">
    <vt:lpwstr>BN":"978-0-674-89666-6","language":"en","author":[{"family":"Mayr","given":"Ernst"}],"issued":{"date-parts":[["1988"]]}}}],"schema":"https://github.com/citation-style-language/schema/raw/master/csl-citation.json"}</vt:lpwstr>
  </property>
  <property fmtid="{D5CDD505-2E9C-101B-9397-08002B2CF9AE}" pid="350" name="ZOTERO_BREF_RkhmAIdUAymC_1">
    <vt:lpwstr>ZOTERO_ITEM CSL_CITATION {"citationID":"rjJSLE9B","properties":{"formattedCitation":"(Weick, 1989, p. 244)","plainCitation":"(Weick, 1989, p. 244)"},"citationItems":[{"id":16593,"uris":["http://zotero.org/users/10578/items/9RVBTE3A"],"uri":["http://zotero</vt:lpwstr>
  </property>
  <property fmtid="{D5CDD505-2E9C-101B-9397-08002B2CF9AE}" pid="351" name="ZOTERO_BREF_RkhmAIdUAymC_2">
    <vt:lpwstr>.org/users/10578/items/9RVBTE3A"],"itemData":{"id":16593,"type":"article-journal","title":"Organized improvisation: 20 years of organizing","container-title":"Communication Studies","page":"241-248","volume":"40","issue":"4","source":"CrossRef","URL":"htt</vt:lpwstr>
  </property>
  <property fmtid="{D5CDD505-2E9C-101B-9397-08002B2CF9AE}" pid="352" name="ZOTERO_BREF_RkhmAIdUAymC_3">
    <vt:lpwstr>p://dx.doi.org/10.1080/10510978909368277","DOI":"10.1080/10510978909368277","ISSN":"1051-0974, 1745-1035","shortTitle":"Organized improvisation","language":"en","author":[{"family":"Weick","given":"Karl E."}],"issued":{"date-parts":[["1989"]]},"accessed":</vt:lpwstr>
  </property>
  <property fmtid="{D5CDD505-2E9C-101B-9397-08002B2CF9AE}" pid="353" name="ZOTERO_BREF_RkhmAIdUAymC_4">
    <vt:lpwstr>{"date-parts":[["2016",9,9]]}},"locator":"244","label":"page"}],"schema":"https://github.com/citation-style-language/schema/raw/master/csl-citation.json"}</vt:lpwstr>
  </property>
  <property fmtid="{D5CDD505-2E9C-101B-9397-08002B2CF9AE}" pid="354" name="ZOTERO_BREF_Slt7kjwwjXHv_1">
    <vt:lpwstr>ZOTERO_ITEM CSL_CITATION {"citationID":"PUy0I3JB","properties":{"formattedCitation":"(Falcon, 2012)","plainCitation":"(Falcon, 2012)"},"citationItems":[{"id":1430,"uris":["http://zotero.org/users/10578/items/XW2DRV8B"],"uri":["http://zotero.org/users/1057</vt:lpwstr>
  </property>
  <property fmtid="{D5CDD505-2E9C-101B-9397-08002B2CF9AE}" pid="355" name="ZOTERO_BREF_Slt7kjwwjXHv_2">
    <vt:lpwstr>8/items/XW2DRV8B"],"itemData":{"id":1430,"type":"chapter","title":"Aristotle on Causality","container-title":"The Stanford Encyclopedia of Philosophy","edition":"Winter 2012","source":"Stanford Encyclopedia of Philosophy","abstract":"Each Aristotelian sci</vt:lpwstr>
  </property>
  <property fmtid="{D5CDD505-2E9C-101B-9397-08002B2CF9AE}" pid="356" name="ZOTERO_BREF_Slt7kjwwjXHv_3">
    <vt:lpwstr>ence consists in the causal investigation of aspecific department of reality. If successful, such an investigationresults in causal knowledge; that is, knowledge of the relevant orappropriate causes. The emphasis on the concept of cause explains whyAristo</vt:lpwstr>
  </property>
  <property fmtid="{D5CDD505-2E9C-101B-9397-08002B2CF9AE}" pid="357" name="ZOTERO_BREF_Slt7kjwwjXHv_4">
    <vt:lpwstr>tle developed a theory of causality which is commonly known asthe doctrine of the four causes. For Aristotle, a firm grasp of what acause is, and how many kinds of causes there are, is essential for asuccessful investigation of the world around us.","URL"</vt:lpwstr>
  </property>
  <property fmtid="{D5CDD505-2E9C-101B-9397-08002B2CF9AE}" pid="358" name="ZOTERO_BREF_Slt7kjwwjXHv_5">
    <vt:lpwstr>:"http://plato.stanford.edu/archives/win2012/entries/aristotle-causality/","author":[{"family":"Falcon","given":"Andrea"}],"editor":[{"family":"Zalta","given":"Edward N."}],"issued":{"date-parts":[["2012"]]},"accessed":{"date-parts":[["2013",6,1]]}}}],"sc</vt:lpwstr>
  </property>
  <property fmtid="{D5CDD505-2E9C-101B-9397-08002B2CF9AE}" pid="359" name="ZOTERO_BREF_Slt7kjwwjXHv_6">
    <vt:lpwstr>hema":"https://github.com/citation-style-language/schema/raw/master/csl-citation.json"}</vt:lpwstr>
  </property>
  <property fmtid="{D5CDD505-2E9C-101B-9397-08002B2CF9AE}" pid="360" name="ZOTERO_BREF_Sy46sHkeLE20_1">
    <vt:lpwstr>ZOTERO_ITEM CSL_CITATION {"citationID":"zLo7xRcb","properties":{"formattedCitation":"(Alexander, 1979, p. 130)","plainCitation":"(Alexander, 1979, p. 130)"},"citationItems":[{"id":1391,"uris":["http://zotero.org/users/10578/items/TE8TRH3R"],"uri":["http:/</vt:lpwstr>
  </property>
  <property fmtid="{D5CDD505-2E9C-101B-9397-08002B2CF9AE}" pid="361" name="ZOTERO_BREF_Sy46sHkeLE20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362" name="ZOTERO_BREF_Sy46sHkeLE20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363" name="ZOTERO_BREF_Sy46sHkeLE20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364" name="ZOTERO_BREF_Sy46sHkeLE20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365" name="ZOTERO_BREF_Sy46sHkeLE20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366" name="ZOTERO_BREF_Sy46sHkeLE20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367" name="ZOTERO_BREF_Sy46sHkeLE20_8">
    <vt:lpwstr>lls, and as our faces are.\"","URL":"http://books.google.ca/books?id=H6CE9hlbO8sC","ISBN":"978-0-19-502402-9","language":"en","author":[{"family":"Alexander","given":"Christopher"}],"issued":{"date-parts":[["1979"]]}},"locator":"130","label":"page"}],"sch</vt:lpwstr>
  </property>
  <property fmtid="{D5CDD505-2E9C-101B-9397-08002B2CF9AE}" pid="368" name="ZOTERO_BREF_Sy46sHkeLE20_9">
    <vt:lpwstr>ema":"https://github.com/citation-style-language/schema/raw/master/csl-citation.json"}</vt:lpwstr>
  </property>
  <property fmtid="{D5CDD505-2E9C-101B-9397-08002B2CF9AE}" pid="369" name="ZOTERO_BREF_T6TCpuvbd0uv_1">
    <vt:lpwstr/>
  </property>
  <property fmtid="{D5CDD505-2E9C-101B-9397-08002B2CF9AE}" pid="370" name="ZOTERO_BREF_T7Kpt0pSjeZA_1">
    <vt:lpwstr/>
  </property>
  <property fmtid="{D5CDD505-2E9C-101B-9397-08002B2CF9AE}" pid="371" name="ZOTERO_BREF_TEQj2XWJE5x6_1">
    <vt:lpwstr>ZOTERO_ITEM CSL_CITATION {"citationID":"1XE7delO","properties":{"formattedCitation":"(Dreyfus, 1990, p. 45)","plainCitation":"(Dreyfus, 1990, p. 45)"},"citationItems":[{"id":1323,"uris":["http://zotero.org/users/10578/items/H9TD54EH"],"uri":["http://zoter</vt:lpwstr>
  </property>
  <property fmtid="{D5CDD505-2E9C-101B-9397-08002B2CF9AE}" pid="372" name="ZOTERO_BREF_TEQj2XWJE5x6_2">
    <vt:lpwstr>o.org/users/10578/items/H9TD54EH"],"itemData":{"id":1323,"type":"book","title":"Being-in-the-world: A Commentary on Heidegger's Being and Time, Division I.","publisher":"Mit Press","source":"Google Scholar","URL":"http://books.google.com/books?id=ACIxwxBq</vt:lpwstr>
  </property>
  <property fmtid="{D5CDD505-2E9C-101B-9397-08002B2CF9AE}" pid="373" name="ZOTERO_BREF_TEQj2XWJE5x6_3">
    <vt:lpwstr>2ZgC","shortTitle":"Being-in-the-world","author":[{"family":"Dreyfus","given":"Hubert L."}],"issued":{"date-parts":[["1990"]]},"accessed":{"date-parts":[["2012",12,6]]}},"locator":"45","label":"page"}],"schema":"https://github.com/citation-style-language/</vt:lpwstr>
  </property>
  <property fmtid="{D5CDD505-2E9C-101B-9397-08002B2CF9AE}" pid="374" name="ZOTERO_BREF_TEQj2XWJE5x6_4">
    <vt:lpwstr>schema/raw/master/csl-citation.json"}</vt:lpwstr>
  </property>
  <property fmtid="{D5CDD505-2E9C-101B-9397-08002B2CF9AE}" pid="375" name="ZOTERO_BREF_Thu8Te7mBLL7_1">
    <vt:lpwstr>ZOTERO_ITEM CSL_CITATION {"citationID":"o7Yt1V3Z","properties":{"formattedCitation":"(Ingold, 2000c, p. 238)","plainCitation":"(Ingold, 2000c, p. 238)"},"citationItems":[{"id":16370,"uris":["http://zotero.org/users/10578/items/2K92N7KE"],"uri":["http://zo</vt:lpwstr>
  </property>
  <property fmtid="{D5CDD505-2E9C-101B-9397-08002B2CF9AE}" pid="376" name="ZOTERO_BREF_Thu8Te7mBLL7_2">
    <vt:lpwstr>tero.org/users/10578/items/2K92N7KE"],"itemData":{"id":16370,"type":"chapter","title":"To journey along a way of life: Maps, wayfinding and navigation","container-title":"The Perception of the Environment: Essays on Livelihood, Dwelling and Skill","publis</vt:lpwstr>
  </property>
  <property fmtid="{D5CDD505-2E9C-101B-9397-08002B2CF9AE}" pid="377" name="ZOTERO_BREF_Thu8Te7mBLL7_3">
    <vt:lpwstr>her":"Routledge","page":"219-242","source":"Google Books","abstract":"In this work Tim Ingold offers a persuasive approach to understanding how human beings perceive their surroundings. He argues that what we are used to calling cultural variation consist</vt:lpwstr>
  </property>
  <property fmtid="{D5CDD505-2E9C-101B-9397-08002B2CF9AE}" pid="378" name="ZOTERO_BREF_Thu8Te7mBLL7_4">
    <vt:lpwstr>s, in the first place, of variations in skill. Neither innate nor acquired, skills are grown, incorporated into the human organism through practice and training in an environment. They are thus as much biological as cultural. The twenty-three essays compr</vt:lpwstr>
  </property>
  <property fmtid="{D5CDD505-2E9C-101B-9397-08002B2CF9AE}" pid="379" name="ZOTERO_BREF_Thu8Te7mBLL7_5">
    <vt:lpwstr>ising this book focus in turn on the procurement of livelihood, on what it means to 'dwell', and on the nature of skill, weaving together approaches from social anthropology, ecological psychology, developmental biology and phenomenology in a way that has</vt:lpwstr>
  </property>
  <property fmtid="{D5CDD505-2E9C-101B-9397-08002B2CF9AE}" pid="380" name="ZOTERO_BREF_Thu8Te7mBLL7_6">
    <vt:lpwstr> never been attempted before. The book is set to revolutionise the way we think about what is 'biological' and 'cultural' in humans, about evolution and history, and indeed about what it means for human beings - at once organisms and persons - to inhabit </vt:lpwstr>
  </property>
  <property fmtid="{D5CDD505-2E9C-101B-9397-08002B2CF9AE}" pid="381" name="ZOTERO_BREF_Thu8Te7mBLL7_7">
    <vt:lpwstr>an environment. The Perception of the Environment will be essential reading not only for anthropologists but also for biologists, psychologists, archaeologists, geographers and philosophers.","URL":"https://books.google.com/books?id=_4p-UhXZV70C","ISBN":"</vt:lpwstr>
  </property>
  <property fmtid="{D5CDD505-2E9C-101B-9397-08002B2CF9AE}" pid="382" name="ZOTERO_BREF_Thu8Te7mBLL7_8">
    <vt:lpwstr>978-0-415-22832-9","language":"en","author":[{"family":"Ingold","given":"Tim"}],"issued":{"date-parts":[["2000"]]}},"locator":"238","label":"page"}],"schema":"https://github.com/citation-style-language/schema/raw/master/csl-citation.json"}</vt:lpwstr>
  </property>
  <property fmtid="{D5CDD505-2E9C-101B-9397-08002B2CF9AE}" pid="383" name="ZOTERO_BREF_UKQv5BgpXRoM_1">
    <vt:lpwstr>ZOTERO_ITEM CSL_CITATION {"citationID":"8pezhocl","properties":{"formattedCitation":"{\\rtf (Alexander et al., 1967, pp. 2\\uc0\\u8211{}3)}","plainCitation":"(Alexander et al., 1967, pp. 2–3)"},"citationItems":[{"id":1809,"uris":["http://zotero.org/users/</vt:lpwstr>
  </property>
  <property fmtid="{D5CDD505-2E9C-101B-9397-08002B2CF9AE}" pid="384" name="ZOTERO_BREF_UKQv5BgpXRoM_2">
    <vt:lpwstr>10578/items/XF3M9TTX"],"uri":["http://zotero.org/users/10578/items/XF3M9TTX"],"itemData":{"id":1809,"type":"book","title":"Pattern Manual","publisher":"Center for Environmental Structure","publisher-place":"Berkeley, California","number-of-pages":"21","so</vt:lpwstr>
  </property>
  <property fmtid="{D5CDD505-2E9C-101B-9397-08002B2CF9AE}" pid="385" name="ZOTERO_BREF_UKQv5BgpXRoM_3">
    <vt:lpwstr>urce":"Google Books","event-place":"Berkeley, California","URL":"http://books.google.com/books?id=_VYpGwAACAAJ","language":"en","author":[{"family":"Alexander","given":"Christopher"},{"family":"Ishikawa","given":"Sara"},{"family":"Silverstein","given":"Mu</vt:lpwstr>
  </property>
  <property fmtid="{D5CDD505-2E9C-101B-9397-08002B2CF9AE}" pid="386" name="ZOTERO_BREF_UKQv5BgpXRoM_4">
    <vt:lpwstr>rray"}],"issued":{"date-parts":[["1967"]]}},"locator":"2-3","label":"page"}],"schema":"https://github.com/citation-style-language/schema/raw/master/csl-citation.json"}</vt:lpwstr>
  </property>
  <property fmtid="{D5CDD505-2E9C-101B-9397-08002B2CF9AE}" pid="387" name="ZOTERO_BREF_UjvDD65l4DT0_1">
    <vt:lpwstr/>
  </property>
  <property fmtid="{D5CDD505-2E9C-101B-9397-08002B2CF9AE}" pid="388" name="ZOTERO_BREF_ViaFvcAzQJx2_1">
    <vt:lpwstr>ZOTERO_ITEM CSL_CITATION {"citationID":"rfXK95TU","properties":{"formattedCitation":"(Beisner, Haydon, &amp; Cuddington, 2003)","plainCitation":"(Beisner, Haydon, &amp; Cuddington, 2003)"},"citationItems":[{"id":16534,"uris":["http://zotero.org/users/10578/items/</vt:lpwstr>
  </property>
  <property fmtid="{D5CDD505-2E9C-101B-9397-08002B2CF9AE}" pid="389" name="ZOTERO_BREF_ViaFvcAzQJx2_2">
    <vt:lpwstr>S4HA9CKW"],"uri":["http://zotero.org/users/10578/items/S4HA9CKW"],"itemData":{"id":16534,"type":"article-journal","title":"Alternative stable states in ecology","container-title":"Frontiers in Ecology and the Environment","page":"376–382","volume":"1","is</vt:lpwstr>
  </property>
  <property fmtid="{D5CDD505-2E9C-101B-9397-08002B2CF9AE}" pid="390" name="ZOTERO_BREF_ViaFvcAzQJx2_3">
    <vt:lpwstr>sue":"7","source":"Google Scholar","URL":"http://dx.doi.org/10.2307/3868190","DOI":"10.2307/3868190","author":[{"family":"Beisner","given":"Beatrix E."},{"family":"Haydon","given":"Daniel T."},{"family":"Cuddington","given":"Kim"}],"issued":{"date-parts":</vt:lpwstr>
  </property>
  <property fmtid="{D5CDD505-2E9C-101B-9397-08002B2CF9AE}" pid="391" name="ZOTERO_BREF_ViaFvcAzQJx2_4">
    <vt:lpwstr>[["2003"]]},"accessed":{"date-parts":[["2016",8,6]]}}}],"schema":"https://github.com/citation-style-language/schema/raw/master/csl-citation.json"}</vt:lpwstr>
  </property>
  <property fmtid="{D5CDD505-2E9C-101B-9397-08002B2CF9AE}" pid="392" name="ZOTERO_BREF_W8M2lcqfeAv6_1">
    <vt:lpwstr>ZOTERO_ITEM CSL_CITATION {"citationID":"wnyAO2LQ","properties":{"formattedCitation":"(Alexander, 1966, p. 55)","plainCitation":"(Alexander, 1966, p. 55)"},"citationItems":[{"id":1810,"uris":["http://zotero.org/users/10578/items/XFS9ZWVV"],"uri":["http://z</vt:lpwstr>
  </property>
  <property fmtid="{D5CDD505-2E9C-101B-9397-08002B2CF9AE}" pid="393" name="ZOTERO_BREF_W8M2lcqfeAv6_2">
    <vt:lpwstr>otero.org/users/10578/items/XFS9ZWVV"],"itemData":{"id":1810,"type":"article-journal","title":"A City is Not a Tree","container-title":"Design","page":"46-55","volume":"206","URL":"http://vads.ac.uk/diad/article.php?year=1966&amp;title=206&amp;article=d.206.27","</vt:lpwstr>
  </property>
  <property fmtid="{D5CDD505-2E9C-101B-9397-08002B2CF9AE}" pid="394" name="ZOTERO_BREF_W8M2lcqfeAv6_3">
    <vt:lpwstr>author":[{"family":"Alexander","given":"Christopher"}],"issued":{"date-parts":[["1966"]]}},"locator":"55","label":"page"}],"schema":"https://github.com/citation-style-language/schema/raw/master/csl-citation.json"}</vt:lpwstr>
  </property>
  <property fmtid="{D5CDD505-2E9C-101B-9397-08002B2CF9AE}" pid="395" name="ZOTERO_BREF_WAdnXxszbtBK1_1">
    <vt:lpwstr>ZOTERO_ITEM CSL_CITATION {"citationID":"aUAMYrdq","properties":{"formattedCitation":"(Alexander, 1979, p. 247)","plainCitation":"(Alexander, 1979, p. 247)"},"citationItems":[{"id":1391,"uris":["http://zotero.org/users/10578/items/TE8TRH3R"],"uri":["http:/</vt:lpwstr>
  </property>
  <property fmtid="{D5CDD505-2E9C-101B-9397-08002B2CF9AE}" pid="396" name="ZOTERO_BREF_WAdnXxszbtBK1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397" name="ZOTERO_BREF_WAdnXxszbtBK1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398" name="ZOTERO_BREF_WAdnXxszbtBK1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399" name="ZOTERO_BREF_WAdnXxszbtBK1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400" name="ZOTERO_BREF_WAdnXxszbtBK1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401" name="ZOTERO_BREF_WAdnXxszbtBK1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402" name="ZOTERO_BREF_WAdnXxszbtBK1_8">
    <vt:lpwstr>lls, and as our faces are.\"","URL":"http://books.google.ca/books?id=H6CE9hlbO8sC","ISBN":"978-0-19-502402-9","language":"en","author":[{"family":"Alexander","given":"Christopher"}],"issued":{"date-parts":[["1979"]]}},"locator":"247","label":"page"}],"sch</vt:lpwstr>
  </property>
  <property fmtid="{D5CDD505-2E9C-101B-9397-08002B2CF9AE}" pid="403" name="ZOTERO_BREF_WAdnXxszbtBK1_9">
    <vt:lpwstr>ema":"https://github.com/citation-style-language/schema/raw/master/csl-citation.json"}</vt:lpwstr>
  </property>
  <property fmtid="{D5CDD505-2E9C-101B-9397-08002B2CF9AE}" pid="404" name="ZOTERO_BREF_WAdnXxszbtBK_1">
    <vt:lpwstr>ZOTERO_ITEM CSL_CITATION {"citationID":"dcLkVjVc","properties":{"formattedCitation":"(Alexander, 1979, p. 247)","plainCitation":"(Alexander, 1979, p. 247)"},"citationItems":[{"id":1391,"uris":["http://zotero.org/users/10578/items/TE8TRH3R"],"uri":["http:/</vt:lpwstr>
  </property>
  <property fmtid="{D5CDD505-2E9C-101B-9397-08002B2CF9AE}" pid="405" name="ZOTERO_BREF_WAdnXxszbtBK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406" name="ZOTERO_BREF_WAdnXxszbtBK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407" name="ZOTERO_BREF_WAdnXxszbtBK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408" name="ZOTERO_BREF_WAdnXxszbtBK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409" name="ZOTERO_BREF_WAdnXxszbtBK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410" name="ZOTERO_BREF_WAdnXxszbtBK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411" name="ZOTERO_BREF_WAdnXxszbtBK_8">
    <vt:lpwstr>lls, and as our faces are.\"","URL":"http://books.google.ca/books?id=H6CE9hlbO8sC","ISBN":"978-0-19-502402-9","language":"en","author":[{"family":"Alexander","given":"Christopher"}],"issued":{"date-parts":[["1979"]]}},"locator":"247","label":"page"}],"sch</vt:lpwstr>
  </property>
  <property fmtid="{D5CDD505-2E9C-101B-9397-08002B2CF9AE}" pid="412" name="ZOTERO_BREF_WAdnXxszbtBK_9">
    <vt:lpwstr>ema":"https://github.com/citation-style-language/schema/raw/master/csl-citation.json"}</vt:lpwstr>
  </property>
  <property fmtid="{D5CDD505-2E9C-101B-9397-08002B2CF9AE}" pid="413" name="ZOTERO_BREF_Y0fowA70YXxH_1">
    <vt:lpwstr>ZOTERO_ITEM CSL_CITATION {"citationID":"rvTxKECh","properties":{"formattedCitation":"(Maglio &amp; Spohrer, 2008, p. 18)","plainCitation":"(Maglio &amp; Spohrer, 2008, p. 18)"},"citationItems":[{"id":16603,"uris":["http://zotero.org/users/10578/items/WZSQWX9R"],"</vt:lpwstr>
  </property>
  <property fmtid="{D5CDD505-2E9C-101B-9397-08002B2CF9AE}" pid="414" name="ZOTERO_BREF_Y0fowA70YXxH_2">
    <vt:lpwstr>uri":["http://zotero.org/users/10578/items/WZSQWX9R"],"itemData":{"id":16603,"type":"article-journal","title":"Fundamentals of service science","container-title":"Journal of the Academy of Marketing Science","page":"18–20","volume":"36","issue":"1","sourc</vt:lpwstr>
  </property>
  <property fmtid="{D5CDD505-2E9C-101B-9397-08002B2CF9AE}" pid="415" name="ZOTERO_BREF_Y0fowA70YXxH_3">
    <vt:lpwstr>e":"Google Scholar","URL":"http://dx.doi.org/10.1007/s11747-007-0058-9","DOI":"10.1007/s11747-007-0058-9","author":[{"family":"Maglio","given":"Paul P."},{"family":"Spohrer","given":"Jim"}],"issued":{"date-parts":[["2008"]]},"accessed":{"date-parts":[["20</vt:lpwstr>
  </property>
  <property fmtid="{D5CDD505-2E9C-101B-9397-08002B2CF9AE}" pid="416" name="ZOTERO_BREF_Y0fowA70YXxH_4">
    <vt:lpwstr>16",9,12]]}},"locator":"18","label":"page"}],"schema":"https://github.com/citation-style-language/schema/raw/master/csl-citation.json"}</vt:lpwstr>
  </property>
  <property fmtid="{D5CDD505-2E9C-101B-9397-08002B2CF9AE}" pid="417" name="ZOTERO_BREF_YFJeCyDN0374_1">
    <vt:lpwstr>ZOTERO_ITEM CSL_CITATION {"citationID":"97RwasNY","properties":{"formattedCitation":"(Ing, 2015)","plainCitation":"(Ing, 2015)"},"citationItems":[{"id":16392,"uris":["http://zotero.org/users/10578/items/FS4T5W4C"],"uri":["http://zotero.org/users/10578/ite</vt:lpwstr>
  </property>
  <property fmtid="{D5CDD505-2E9C-101B-9397-08002B2CF9AE}" pid="418" name="ZOTERO_BREF_YFJeCyDN0374_2">
    <vt:lpwstr>ms/FS4T5W4C"],"itemData":{"id":16392,"type":"paper-conference","title":"From Environmental Structure to Service Systems Thinking: Wholeness with Centers Described with a Generative Pattern Language","container-title":"Proceedings of the 2014 Conference on</vt:lpwstr>
  </property>
  <property fmtid="{D5CDD505-2E9C-101B-9397-08002B2CF9AE}" pid="419" name="ZOTERO_BREF_YFJeCyDN0374_3">
    <vt:lpwstr> Pattern Languages of Programs.","publisher":"The Hillside Group","publisher-place":"Allerton Park, IL","event":"PLoP 2014","event-place":"Allerton Park, IL","URL":"http://coevolving.com/commons/201501-from-environmental-structure-to-service-systems-think</vt:lpwstr>
  </property>
  <property fmtid="{D5CDD505-2E9C-101B-9397-08002B2CF9AE}" pid="420" name="ZOTERO_BREF_YFJeCyDN0374_4">
    <vt:lpwstr>ing","author":[{"family":"Ing","given":"David"}],"issued":{"date-parts":[["2015"]]},"accessed":{"date-parts":[["2016",6,10]]}}}],"schema":"https://github.com/citation-style-language/schema/raw/master/csl-citation.json"}</vt:lpwstr>
  </property>
  <property fmtid="{D5CDD505-2E9C-101B-9397-08002B2CF9AE}" pid="421" name="ZOTERO_BREF_YY8XvpSqWlfa_1">
    <vt:lpwstr>ZOTERO_ITEM CSL_CITATION {"citationID":"J6NrX8n5","properties":{"formattedCitation":"(Haumer, 2007)","plainCitation":"(Haumer, 2007)"},"citationItems":[{"id":16627,"uris":["http://zotero.org/users/10578/items/BTAXCJTR"],"uri":["http://zotero.org/users/105</vt:lpwstr>
  </property>
  <property fmtid="{D5CDD505-2E9C-101B-9397-08002B2CF9AE}" pid="422" name="ZOTERO_BREF_YY8XvpSqWlfa_2">
    <vt:lpwstr>78/items/BTAXCJTR"],"itemData":{"id":16627,"type":"article","title":"Eclipse Process Framework Composer","publisher":"The Eclipse Foundation","URL":"https://eclipse.org/epf/general/EPFComposerOverviewPart1.pdf","author":[{"family":"Haumer","given":"Peter"</vt:lpwstr>
  </property>
  <property fmtid="{D5CDD505-2E9C-101B-9397-08002B2CF9AE}" pid="423" name="ZOTERO_BREF_YY8XvpSqWlfa_3">
    <vt:lpwstr>}],"issued":{"date-parts":[["2007"]]}}}],"schema":"https://github.com/citation-style-language/schema/raw/master/csl-citation.json"}</vt:lpwstr>
  </property>
  <property fmtid="{D5CDD505-2E9C-101B-9397-08002B2CF9AE}" pid="424" name="ZOTERO_BREF_aDcxzFTL4e1e11_1">
    <vt:lpwstr>ZOTERO_ITEM CSL_CITATION {"citationID":"CLhm5bg2","properties":{"formattedCitation":"(Alexander et al., 1968, p. 1)","plainCitation":"(Alexander et al., 1968, p. 1)"},"citationItems":[{"id":1808,"uris":["http://zotero.org/users/10578/items/Q37EGESQ"],"uri</vt:lpwstr>
  </property>
  <property fmtid="{D5CDD505-2E9C-101B-9397-08002B2CF9AE}" pid="425" name="ZOTERO_BREF_aDcxzFTL4e1e11_2">
    <vt:lpwstr>":["http://zotero.org/users/10578/items/Q37EGESQ"],"itemData":{"id":1808,"type":"book","title":"A Pattern Language which Generates Multi-service Centers","publisher":"Center for Environmental Structure","number-of-pages":"306","source":"Google Books","URL</vt:lpwstr>
  </property>
  <property fmtid="{D5CDD505-2E9C-101B-9397-08002B2CF9AE}" pid="426" name="ZOTERO_BREF_aDcxzFTL4e1e11_3">
    <vt:lpwstr>":"http://books.google.ca/books?id=FGdPAAAAMAAJ","language":"en","author":[{"family":"Alexander","given":"Christopher"},{"family":"Ishikawa","given":"Sara"},{"family":"Silverstein","given":"Murray"}],"issued":{"date-parts":[["1968"]]}},"locator":"1","labe</vt:lpwstr>
  </property>
  <property fmtid="{D5CDD505-2E9C-101B-9397-08002B2CF9AE}" pid="427" name="ZOTERO_BREF_aDcxzFTL4e1e11_4">
    <vt:lpwstr>l":"page"}],"schema":"https://github.com/citation-style-language/schema/raw/master/csl-citation.json"}</vt:lpwstr>
  </property>
  <property fmtid="{D5CDD505-2E9C-101B-9397-08002B2CF9AE}" pid="428" name="ZOTERO_BREF_aDcxzFTL4e1e_1">
    <vt:lpwstr>ZOTERO_ITEM CSL_CITATION {"citationID":"CLhm5bg2","properties":{"formattedCitation":"(Alexander, Ishikawa, &amp; Silverstein, 1968, p. 1)","plainCitation":"(Alexander, Ishikawa, &amp; Silverstein, 1968, p. 1)"},"citationItems":[{"id":1808,"uris":["http://zotero.o</vt:lpwstr>
  </property>
  <property fmtid="{D5CDD505-2E9C-101B-9397-08002B2CF9AE}" pid="429" name="ZOTERO_BREF_aDcxzFTL4e1e_2">
    <vt:lpwstr>rg/users/10578/items/Q37EGESQ"],"uri":["http://zotero.org/users/10578/items/Q37EGESQ"],"itemData":{"id":1808,"type":"book","title":"A Pattern Language which Generates Multi-service Centers","publisher":"Center for Environmental Structure","number-of-pages</vt:lpwstr>
  </property>
  <property fmtid="{D5CDD505-2E9C-101B-9397-08002B2CF9AE}" pid="430" name="ZOTERO_BREF_aDcxzFTL4e1e_3">
    <vt:lpwstr>":"306","source":"Google Books","URL":"http://books.google.ca/books?id=FGdPAAAAMAAJ","language":"en","author":[{"family":"Alexander","given":"Christopher"},{"family":"Ishikawa","given":"Sara"},{"family":"Silverstein","given":"Murray"}],"issued":{"date-par</vt:lpwstr>
  </property>
  <property fmtid="{D5CDD505-2E9C-101B-9397-08002B2CF9AE}" pid="431" name="ZOTERO_BREF_aDcxzFTL4e1e_4">
    <vt:lpwstr>ts":[["1968"]]}},"locator":"1","label":"page"}],"schema":"https://github.com/citation-style-language/schema/raw/master/csl-citation.json"}</vt:lpwstr>
  </property>
  <property fmtid="{D5CDD505-2E9C-101B-9397-08002B2CF9AE}" pid="432" name="ZOTERO_BREF_aH5IaANeEN6Q_1">
    <vt:lpwstr>ZOTERO_ITEM CSL_CITATION {"citationID":"pWNZ3Vbb","properties":{"formattedCitation":"(Coplien, 2004, p. 10)","plainCitation":"(Coplien, 2004, p. 10)"},"citationItems":[{"id":16624,"uris":["http://zotero.org/users/10578/items/G6KZCSE2"],"uri":["http://zote</vt:lpwstr>
  </property>
  <property fmtid="{D5CDD505-2E9C-101B-9397-08002B2CF9AE}" pid="433" name="ZOTERO_BREF_aH5IaANeEN6Q_2">
    <vt:lpwstr>ro.org/users/10578/items/G6KZCSE2"],"itemData":{"id":16624,"type":"article-journal","title":"The culture of patterns","container-title":"Comput. Sci. Inf. Syst.","page":"1–26","volume":"1","issue":"2","source":"Google Scholar","URL":"http://www.comsis.org</vt:lpwstr>
  </property>
  <property fmtid="{D5CDD505-2E9C-101B-9397-08002B2CF9AE}" pid="434" name="ZOTERO_BREF_aH5IaANeEN6Q_3">
    <vt:lpwstr>/archive.php?show=vol0102","author":[{"family":"Coplien","given":"James O."}],"issued":{"date-parts":[["2004"]]},"accessed":{"date-parts":[["2016",9,20]]}},"locator":"10","label":"page"}],"schema":"https://github.com/citation-style-language/schema/raw/mas</vt:lpwstr>
  </property>
  <property fmtid="{D5CDD505-2E9C-101B-9397-08002B2CF9AE}" pid="435" name="ZOTERO_BREF_aH5IaANeEN6Q_4">
    <vt:lpwstr>ter/csl-citation.json"}</vt:lpwstr>
  </property>
  <property fmtid="{D5CDD505-2E9C-101B-9397-08002B2CF9AE}" pid="436" name="ZOTERO_BREF_ahcrPTRrbSdx_1">
    <vt:lpwstr>ZOTERO_ITEM CSL_CITATION {"citationID":"MRnvgei6","properties":{"formattedCitation":"(Alexander, 1979, p. 253)","plainCitation":"(Alexander, 1979, p. 253)"},"citationItems":[{"id":1391,"uris":["http://zotero.org/users/10578/items/TE8TRH3R"],"uri":["http:/</vt:lpwstr>
  </property>
  <property fmtid="{D5CDD505-2E9C-101B-9397-08002B2CF9AE}" pid="437" name="ZOTERO_BREF_ahcrPTRrbSdx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438" name="ZOTERO_BREF_ahcrPTRrbSdx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439" name="ZOTERO_BREF_ahcrPTRrbSdx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440" name="ZOTERO_BREF_ahcrPTRrbSdx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441" name="ZOTERO_BREF_ahcrPTRrbSdx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442" name="ZOTERO_BREF_ahcrPTRrbSdx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443" name="ZOTERO_BREF_ahcrPTRrbSdx_8">
    <vt:lpwstr>lls, and as our faces are.\"","URL":"http://books.google.ca/books?id=H6CE9hlbO8sC","ISBN":"978-0-19-502402-9","language":"en","author":[{"family":"Alexander","given":"Christopher"}],"issued":{"date-parts":[["1979"]]}},"locator":"253","label":"page"}],"sch</vt:lpwstr>
  </property>
  <property fmtid="{D5CDD505-2E9C-101B-9397-08002B2CF9AE}" pid="444" name="ZOTERO_BREF_ahcrPTRrbSdx_9">
    <vt:lpwstr>ema":"https://github.com/citation-style-language/schema/raw/master/csl-citation.json"}</vt:lpwstr>
  </property>
  <property fmtid="{D5CDD505-2E9C-101B-9397-08002B2CF9AE}" pid="445" name="ZOTERO_BREF_b8ALspA8KDcG_1">
    <vt:lpwstr>ZOTERO_ITEM CSL_CITATION {"citationID":"GHoW6ZsM","properties":{"formattedCitation":"(Alexander, 2007)","plainCitation":"(Alexander, 2007)"},"citationItems":[{"id":1836,"uris":["http://zotero.org/users/10578/items/IQAD9QBU"],"uri":["http://zotero.org/user</vt:lpwstr>
  </property>
  <property fmtid="{D5CDD505-2E9C-101B-9397-08002B2CF9AE}" pid="446" name="ZOTERO_BREF_b8ALspA8KDcG_2">
    <vt:lpwstr>s/10578/items/IQAD9QBU"],"itemData":{"id":1836,"type":"article-journal","title":"Empirical Findings from The Nature of Order","container-title":"Environmental &amp; Architectural Phenomenology","page":"11-19","volume":"18","issue":"1","URL":"http://www.arch.k</vt:lpwstr>
  </property>
  <property fmtid="{D5CDD505-2E9C-101B-9397-08002B2CF9AE}" pid="447" name="ZOTERO_BREF_b8ALspA8KDcG_3">
    <vt:lpwstr>su.edu/seamon/Alexander_Nature%20of%20Order.htm","author":[{"family":"Alexander","given":"Christopher"}],"issued":{"date-parts":[["2007"]]}}}],"schema":"https://github.com/citation-style-language/schema/raw/master/csl-citation.json"}</vt:lpwstr>
  </property>
  <property fmtid="{D5CDD505-2E9C-101B-9397-08002B2CF9AE}" pid="448" name="ZOTERO_BREF_baBYumTqDu0J_1">
    <vt:lpwstr>ZOTERO_ITEM CSL_CITATION {"citationID":"eQqwLt7k","properties":{"formattedCitation":"(Gibson, 1979, p. 127)","plainCitation":"(Gibson, 1979, p. 127)"},"citationItems":[{"id":16358,"uris":["http://zotero.org/users/10578/items/GMPCZI6J"],"uri":["http://zote</vt:lpwstr>
  </property>
  <property fmtid="{D5CDD505-2E9C-101B-9397-08002B2CF9AE}" pid="449" name="ZOTERO_BREF_baBYumTqDu0J_2">
    <vt:lpwstr>ro.org/users/10578/items/GMPCZI6J"],"itemData":{"id":16358,"type":"chapter","title":"The Theory of Affordances","container-title":"The Ecological Approach to Visual Perception","publisher":"Houghton Mifflin","publisher-place":"Boston","page":"127-143","so</vt:lpwstr>
  </property>
  <property fmtid="{D5CDD505-2E9C-101B-9397-08002B2CF9AE}" pid="450" name="ZOTERO_BREF_baBYumTqDu0J_3">
    <vt:lpwstr>urce":"Google Scholar","event-place":"Boston","URL":"https://books.google.com/books?id=DrhCCWmJpWUC","author":[{"family":"Gibson","given":"James Jerome"}],"issued":{"date-parts":[["1979"]]},"accessed":{"date-parts":[["2016",6,1]]}},"locator":"127","label"</vt:lpwstr>
  </property>
  <property fmtid="{D5CDD505-2E9C-101B-9397-08002B2CF9AE}" pid="451" name="ZOTERO_BREF_baBYumTqDu0J_4">
    <vt:lpwstr>:"page"}],"schema":"https://github.com/citation-style-language/schema/raw/master/csl-citation.json"}</vt:lpwstr>
  </property>
  <property fmtid="{D5CDD505-2E9C-101B-9397-08002B2CF9AE}" pid="452" name="ZOTERO_BREF_bchpq49ROWG9_1">
    <vt:lpwstr>ZOTERO_ITEM CSL_CITATION {"citationID":"X3TMs64L","properties":{"formattedCitation":"(Mehaffy, 2008, p. 69)","plainCitation":"(Mehaffy, 2008, p. 69)"},"citationItems":[{"id":1807,"uris":["http://zotero.org/users/10578/items/JVZTJCTB"],"uri":["http://zoter</vt:lpwstr>
  </property>
  <property fmtid="{D5CDD505-2E9C-101B-9397-08002B2CF9AE}" pid="453" name="ZOTERO_BREF_bchpq49ROWG9_2">
    <vt:lpwstr>o.org/users/10578/items/JVZTJCTB"],"itemData":{"id":1807,"type":"article-journal","title":"Generative methods in urban design: a progress assessment","container-title":"Journal of Urbanism: International Research on Placemaking and Urban Sustainability","</vt:lpwstr>
  </property>
  <property fmtid="{D5CDD505-2E9C-101B-9397-08002B2CF9AE}" pid="454" name="ZOTERO_BREF_bchpq49ROWG9_3">
    <vt:lpwstr>page":"57-75","volume":"1","issue":"1","source":"Taylor and Francis+NEJM","abstract":"The year 2007 marked the 20‐year anniversary of A New Theory of Urban Design (1987), a slender volume by Christopher Alexander and colleagues that serves as a notable mi</vt:lpwstr>
  </property>
  <property fmtid="{D5CDD505-2E9C-101B-9397-08002B2CF9AE}" pid="455" name="ZOTERO_BREF_bchpq49ROWG9_4">
    <vt:lpwstr>lepost within the half‐century old “design methods movement” in which Alexander himself played a seminal role. The “generative” design method of A New Theory focused less upon the specification of a final form through schematic planning, and more on the s</vt:lpwstr>
  </property>
  <property fmtid="{D5CDD505-2E9C-101B-9397-08002B2CF9AE}" pid="456" name="ZOTERO_BREF_bchpq49ROWG9_5">
    <vt:lpwstr>tepwise process by which a form might emerge from the evolutionary actions of a group of collaborators. In so doing, it challenged the notion of “design” as a progressive expression of schematic intentions, and argued for a conception of design as a stepw</vt:lpwstr>
  </property>
  <property fmtid="{D5CDD505-2E9C-101B-9397-08002B2CF9AE}" pid="457" name="ZOTERO_BREF_bchpq49ROWG9_6">
    <vt:lpwstr>ise, non‐linear evolution in response to a series of contextual urban factors. In the 20 years since, significant progress has been made to develop the insights of generativity in urban design, as in other fields. Some of Alexander’s ideas have been incor</vt:lpwstr>
  </property>
  <property fmtid="{D5CDD505-2E9C-101B-9397-08002B2CF9AE}" pid="458" name="ZOTERO_BREF_bchpq49ROWG9_7">
    <vt:lpwstr>porated – notably by practitioners of The New Urbanism – and some have been challenged and dismissed, including, notably, by Alexander himself. The author assesses progress since this milepost volume – substantial, he argues – as well as setbacks and shor</vt:lpwstr>
  </property>
  <property fmtid="{D5CDD505-2E9C-101B-9397-08002B2CF9AE}" pid="459" name="ZOTERO_BREF_bchpq49ROWG9_8">
    <vt:lpwstr>tcomings, and significant opportunities still remaining.","URL":"http://dx.doi.org/10.1080/17549170801903678","DOI":"10.1080/17549170801903678","ISSN":"1754-9175","shortTitle":"Generative methods in urban design","author":[{"family":"Mehaffy","given":"Mic</vt:lpwstr>
  </property>
  <property fmtid="{D5CDD505-2E9C-101B-9397-08002B2CF9AE}" pid="460" name="ZOTERO_BREF_bchpq49ROWG9_9">
    <vt:lpwstr>hael"}],"issued":{"date-parts":[["2008"]]},"accessed":{"date-parts":[["2014",4,28]]}},"locator":"69","label":"page"}],"schema":"https://github.com/citation-style-language/schema/raw/master/csl-citation.json"}</vt:lpwstr>
  </property>
  <property fmtid="{D5CDD505-2E9C-101B-9397-08002B2CF9AE}" pid="461" name="ZOTERO_BREF_brSs00JmIn5V_1">
    <vt:lpwstr>ZOTERO_ITEM CSL_CITATION {"citationID":"9VW5IdBG","properties":{"formattedCitation":"(Alexander, 2007)","plainCitation":"(Alexander, 2007)"},"citationItems":[{"id":1836,"uris":["http://zotero.org/users/10578/items/IQAD9QBU"],"uri":["http://zotero.org/user</vt:lpwstr>
  </property>
  <property fmtid="{D5CDD505-2E9C-101B-9397-08002B2CF9AE}" pid="462" name="ZOTERO_BREF_brSs00JmIn5V_2">
    <vt:lpwstr>s/10578/items/IQAD9QBU"],"itemData":{"id":1836,"type":"article-journal","title":"Empirical Findings from The Nature of Order","container-title":"Environmental &amp; Architectural Phenomenology","page":"11-19","volume":"18","issue":"1","URL":"http://www.arch.k</vt:lpwstr>
  </property>
  <property fmtid="{D5CDD505-2E9C-101B-9397-08002B2CF9AE}" pid="463" name="ZOTERO_BREF_brSs00JmIn5V_3">
    <vt:lpwstr>su.edu/seamon/Alexander_Nature%20of%20Order.htm","author":[{"family":"Alexander","given":"Christopher"}],"issued":{"date-parts":[["2007"]]}}}],"schema":"https://github.com/citation-style-language/schema/raw/master/csl-citation.json"}</vt:lpwstr>
  </property>
  <property fmtid="{D5CDD505-2E9C-101B-9397-08002B2CF9AE}" pid="464" name="ZOTERO_BREF_c1EOHWKA6fI5_1">
    <vt:lpwstr/>
  </property>
  <property fmtid="{D5CDD505-2E9C-101B-9397-08002B2CF9AE}" pid="465" name="ZOTERO_BREF_d9PeVJVN2yw4_1">
    <vt:lpwstr>ZOTERO_ITEM CSL_CITATION {"citationID":"JzKD0WZT","properties":{"formattedCitation":"(Culmsee &amp; Awati, 2013, p. 108)","plainCitation":"(Culmsee &amp; Awati, 2013, p. 108)"},"citationItems":[{"id":16637,"uris":["http://zotero.org/users/10578/items/8SAVZ8J5"],"</vt:lpwstr>
  </property>
  <property fmtid="{D5CDD505-2E9C-101B-9397-08002B2CF9AE}" pid="466" name="ZOTERO_BREF_d9PeVJVN2yw4_2">
    <vt:lpwstr>uri":["http://zotero.org/users/10578/items/8SAVZ8J5"],"itemData":{"id":16637,"type":"chapter","title":"There Are Problems, and There are 'Problems'","container-title":"The Heretic's Guide to Best Practices: The Reality of Managing Complex Problems in Orga</vt:lpwstr>
  </property>
  <property fmtid="{D5CDD505-2E9C-101B-9397-08002B2CF9AE}" pid="467" name="ZOTERO_BREF_d9PeVJVN2yw4_3">
    <vt:lpwstr>nisations","publisher":"iUniverse","page":"106-122","source":"Google Books","abstract":"When it comes to solving complex problems, we often perform elaborate rituals in the guise of best practices that promise a world of order, certainty, and control. But</vt:lpwstr>
  </property>
  <property fmtid="{D5CDD505-2E9C-101B-9397-08002B2CF9AE}" pid="468" name="ZOTERO_BREF_d9PeVJVN2yw4_4">
    <vt:lpwstr> reality paints a far different picture, which practitioners are often reluctant to discuss. A witty yet rigorous journey through the seedy underbelly of organisational problem solving, The Heretic’s Guide to Best Practices pinpoints the reasons why best </vt:lpwstr>
  </property>
  <property fmtid="{D5CDD505-2E9C-101B-9397-08002B2CF9AE}" pid="469" name="ZOTERO_BREF_d9PeVJVN2yw4_5">
    <vt:lpwstr>practices don’t work as advertised and what can be done about it. “Hugely enjoyable, deeply reflective, and intensely practical. This book is about weaving human artistry and improvisation, with appropriate methods and technologies, in order to pool colle</vt:lpwstr>
  </property>
  <property fmtid="{D5CDD505-2E9C-101B-9397-08002B2CF9AE}" pid="470" name="ZOTERO_BREF_d9PeVJVN2yw4_6">
    <vt:lpwstr>ctive intelligence and wisdom under pressure.”—Simon Buckingham Shum, Knowledge Media Institute, The Open University, UK “This is a terrific piece of work: important, insightful, and very entertaining. Culmsee and Awati have produced a refreshing take on </vt:lpwstr>
  </property>
  <property fmtid="{D5CDD505-2E9C-101B-9397-08002B2CF9AE}" pid="471" name="ZOTERO_BREF_d9PeVJVN2yw4_7">
    <vt:lpwstr>the problems that plague organisations... If you’re trying to deal with wicked problems in your organisation, then drop everything and read this book.”—Tim Van Gelder, Principal Consultant, Austhink Consulting","URL":"http://hereticsguidebooks.com","ISBN"</vt:lpwstr>
  </property>
  <property fmtid="{D5CDD505-2E9C-101B-9397-08002B2CF9AE}" pid="472" name="ZOTERO_BREF_d9PeVJVN2yw4_8">
    <vt:lpwstr>:"978-1-938908-40-8","note":"Google-Books-ID: CUgasLvgvdEC","language":"en","author":[{"family":"Culmsee","given":"Paul"},{"family":"Awati","given":"Kailash"}],"issued":{"date-parts":[["2013",5]]}},"locator":"108","label":"page"}],"schema":"https://github</vt:lpwstr>
  </property>
  <property fmtid="{D5CDD505-2E9C-101B-9397-08002B2CF9AE}" pid="473" name="ZOTERO_BREF_d9PeVJVN2yw4_9">
    <vt:lpwstr>.com/citation-style-language/schema/raw/master/csl-citation.json"}</vt:lpwstr>
  </property>
  <property fmtid="{D5CDD505-2E9C-101B-9397-08002B2CF9AE}" pid="474" name="ZOTERO_BREF_dXTZYiey9gU7_1">
    <vt:lpwstr>ZOTERO_ITEM CSL_CITATION {"citationID":"EGRmDFZT","properties":{"formattedCitation":"(Alexander, 1979, p. ix)","plainCitation":"(Alexander, 1979, p. ix)"},"citationItems":[{"id":1391,"uris":["http://zotero.org/users/10578/items/TE8TRH3R"],"uri":["http://z</vt:lpwstr>
  </property>
  <property fmtid="{D5CDD505-2E9C-101B-9397-08002B2CF9AE}" pid="475" name="ZOTERO_BREF_dXTZYiey9gU7_2">
    <vt:lpwstr>otero.org/users/10578/items/TE8TRH3R"],"itemData":{"id":1391,"type":"book","title":"The Timeless Way of Building","publisher":"Oxford University Press","number-of-pages":"586","source":"Google Books","abstract":"The theory of architecture implicit in our </vt:lpwstr>
  </property>
  <property fmtid="{D5CDD505-2E9C-101B-9397-08002B2CF9AE}" pid="476" name="ZOTERO_BREF_dXTZYiey9gU7_3">
    <vt:lpwstr>world today, Christopher Alexander believes, is bankrupt. More and more people are aware that something is deeply wrong. Yet the power of present-day ideas is so great that many feel uncomfortable, even afraid, to say openly that they dislike what is happ</vt:lpwstr>
  </property>
  <property fmtid="{D5CDD505-2E9C-101B-9397-08002B2CF9AE}" pid="477" name="ZOTERO_BREF_dXTZYiey9gU7_4">
    <vt:lpwstr>ening, because they are afraid to seem foolish, afraid perhaps that they will be laughed at.  Now, at last, there is a coherent theory which describes in modern terms an architecture as ancient as human society itself.  The Timeless Way of Buildingis the </vt:lpwstr>
  </property>
  <property fmtid="{D5CDD505-2E9C-101B-9397-08002B2CF9AE}" pid="478" name="ZOTERO_BREF_dXTZYiey9gU7_5">
    <vt:lpwstr>introductory volume in the Center for Environmental Structure series, Christopher Alexander presents in it a new theory of architecture, building, and planning which has at its core that age-old process by which the people of a society have always pulled </vt:lpwstr>
  </property>
  <property fmtid="{D5CDD505-2E9C-101B-9397-08002B2CF9AE}" pid="479" name="ZOTERO_BREF_dXTZYiey9gU7_6">
    <vt:lpwstr>the order of their world from their own being.  Alexander writes, \"There is one timeless way of building. It is thousands of years old, and the same today as it has always been. The great traditional buildings of the past, the villages and tents and temp</vt:lpwstr>
  </property>
  <property fmtid="{D5CDD505-2E9C-101B-9397-08002B2CF9AE}" pid="480" name="ZOTERO_BREF_dXTZYiey9gU7_7">
    <vt:lpwstr>les in which man feels at home, have always been made by people who were very close to the center of this way. And as you will see, this way will lead anyone who looks for it to buildings which are themselves as ancient in their form as the trees and hill</vt:lpwstr>
  </property>
  <property fmtid="{D5CDD505-2E9C-101B-9397-08002B2CF9AE}" pid="481" name="ZOTERO_BREF_dXTZYiey9gU7_8">
    <vt:lpwstr>s, and as our faces are.\"","URL":"http://books.google.ca/books?id=H6CE9hlbO8sC","ISBN":"978-0-19-502402-9","language":"en","author":[{"family":"Alexander","given":"Christopher"}],"issued":{"date-parts":[["1979"]]}},"locator":"ix","label":"page"}],"schema</vt:lpwstr>
  </property>
  <property fmtid="{D5CDD505-2E9C-101B-9397-08002B2CF9AE}" pid="482" name="ZOTERO_BREF_dXTZYiey9gU7_9">
    <vt:lpwstr>":"https://github.com/citation-style-language/schema/raw/master/csl-citation.json"}</vt:lpwstr>
  </property>
  <property fmtid="{D5CDD505-2E9C-101B-9397-08002B2CF9AE}" pid="483" name="ZOTERO_BREF_diYCOiIgDdQe_1">
    <vt:lpwstr>ZOTERO_ITEM CSL_CITATION {"citationID":"fKLYLEG4","properties":{"formattedCitation":"(Dreyfus &amp; Kelly, 2011, p. 206)","plainCitation":"(Dreyfus &amp; Kelly, 2011, p. 206)"},"citationItems":[{"id":16418,"uris":["http://zotero.org/users/10578/items/FS7W7S28"],"</vt:lpwstr>
  </property>
  <property fmtid="{D5CDD505-2E9C-101B-9397-08002B2CF9AE}" pid="484" name="ZOTERO_BREF_diYCOiIgDdQe_2">
    <vt:lpwstr>uri":["http://zotero.org/users/10578/items/FS7W7S28"],"itemData":{"id":16418,"type":"chapter","title":"Lives Worth Living in a Secular Age","container-title":"All things shining: Reading the Western classics to find meaning in a secular age","publisher":"</vt:lpwstr>
  </property>
  <property fmtid="{D5CDD505-2E9C-101B-9397-08002B2CF9AE}" pid="485" name="ZOTERO_BREF_diYCOiIgDdQe_3">
    <vt:lpwstr>Free Press","publisher-place":"New York","page":"190-223","source":"Google Scholar","event-place":"New York","URL":"https://books.google.com/books?id=jzXPSEj6ghEC&amp;","author":[{"family":"Dreyfus","given":"Hubert L."},{"family":"Kelly","given":"Sean Dorranc</vt:lpwstr>
  </property>
  <property fmtid="{D5CDD505-2E9C-101B-9397-08002B2CF9AE}" pid="486" name="ZOTERO_BREF_diYCOiIgDdQe_4">
    <vt:lpwstr>e"}],"issued":{"date-parts":[["2011"]]},"accessed":{"date-parts":[["2016",6,14]]}},"locator":"206","label":"page"}],"schema":"https://github.com/citation-style-language/schema/raw/master/csl-citation.json"}</vt:lpwstr>
  </property>
  <property fmtid="{D5CDD505-2E9C-101B-9397-08002B2CF9AE}" pid="487" name="ZOTERO_BREF_drqylMRsJXFc_1">
    <vt:lpwstr>ZOTERO_ITEM CSL_CITATION {"citationID":"0dGsnDIH","properties":{"formattedCitation":"(Ingold, 2011c, p. 86)","plainCitation":"(Ingold, 2011c, p. 86)"},"citationItems":[{"id":16362,"uris":["http://zotero.org/users/10578/items/MMXQGX5H"],"uri":["http://zote</vt:lpwstr>
  </property>
  <property fmtid="{D5CDD505-2E9C-101B-9397-08002B2CF9AE}" pid="488" name="ZOTERO_BREF_drqylMRsJXFc_2">
    <vt:lpwstr>ro.org/users/10578/items/MMXQGX5H"],"itemData":{"id":16362,"type":"chapter","title":"Point, line, counterpoint: From environment to fluid space","container-title":"Being Alive: Essays on Movement, Knowledge and Description","publisher":"Routledge","page":</vt:lpwstr>
  </property>
  <property fmtid="{D5CDD505-2E9C-101B-9397-08002B2CF9AE}" pid="489" name="ZOTERO_BREF_drqylMRsJXFc_3">
    <vt:lpwstr>"76-88","source":"Google Books","abstract":"Anthropology is a disciplined inquiry into the conditions and potentials of human life. Generations of theorists, however, have expunged life from their accounts, treating it as the mere output of patterns, code</vt:lpwstr>
  </property>
  <property fmtid="{D5CDD505-2E9C-101B-9397-08002B2CF9AE}" pid="490" name="ZOTERO_BREF_drqylMRsJXFc_4">
    <vt:lpwstr>s, structures or systems variously defined as genetic or cultural, natural or social. Building on his classic work The Perception of the Environment, Tim Ingold sets out to restore life to where it should belong, at the heart of anthropological concern.  </vt:lpwstr>
  </property>
  <property fmtid="{D5CDD505-2E9C-101B-9397-08002B2CF9AE}" pid="491" name="ZOTERO_BREF_drqylMRsJXFc_5">
    <vt:lpwstr>Being Alive ranges over such themes as the vitality of materials, what it means to make things, the perception and formation of the ground, the mingling of earth and sky in the weather-world, the experiences of light, sound and feeling, the role of storyt</vt:lpwstr>
  </property>
  <property fmtid="{D5CDD505-2E9C-101B-9397-08002B2CF9AE}" pid="492" name="ZOTERO_BREF_drqylMRsJXFc_6">
    <vt:lpwstr>elling in the integration of knowledge, and the potential of drawing to unite observation and description.  Our humanity, Ingold argues, does not come ready-made but is continually fashioned in our movements along ways of life. Starting from the idea of l</vt:lpwstr>
  </property>
  <property fmtid="{D5CDD505-2E9C-101B-9397-08002B2CF9AE}" pid="493" name="ZOTERO_BREF_drqylMRsJXFc_7">
    <vt:lpwstr>ife as a process of wayfaring, Ingold presents a radically new understanding of movement, knowledge and description as dimensions not just of being in the world, but of being alive to what is going on there.","ISBN":"978-1-136-73543-1","language":"en","au</vt:lpwstr>
  </property>
  <property fmtid="{D5CDD505-2E9C-101B-9397-08002B2CF9AE}" pid="494" name="ZOTERO_BREF_drqylMRsJXFc_8">
    <vt:lpwstr>thor":[{"family":"Ingold","given":"Tim"}],"issued":{"date-parts":[["2011"]]}},"locator":"86","label":"page"}],"schema":"https://github.com/citation-style-language/schema/raw/master/csl-citation.json"}</vt:lpwstr>
  </property>
  <property fmtid="{D5CDD505-2E9C-101B-9397-08002B2CF9AE}" pid="495" name="ZOTERO_BREF_eBkf9kWX6BR9_1">
    <vt:lpwstr>ZOTERO_ITEM CSL_CITATION {"citationID":"tVLQjCDX","properties":{"formattedCitation":"{\\rtf (Alexander, 1979, pp. 260\\uc0\\u8211{}261)}","plainCitation":"(Alexander, 1979, pp. 260–261)"},"citationItems":[{"id":1391,"uris":["http://zotero.org/users/10578/</vt:lpwstr>
  </property>
  <property fmtid="{D5CDD505-2E9C-101B-9397-08002B2CF9AE}" pid="496" name="ZOTERO_BREF_eBkf9kWX6BR9_2">
    <vt:lpwstr>items/TE8TRH3R"],"uri":["http://zotero.org/users/10578/items/TE8TRH3R"],"itemData":{"id":1391,"type":"book","title":"The Timeless Way of Building","publisher":"Oxford University Press","number-of-pages":"586","source":"Google Books","abstract":"The theory</vt:lpwstr>
  </property>
  <property fmtid="{D5CDD505-2E9C-101B-9397-08002B2CF9AE}" pid="497" name="ZOTERO_BREF_eBkf9kWX6BR9_3">
    <vt:lpwstr> of architecture implicit in our world today, Christopher Alexander believes, is bankrupt. More and more people are aware that something is deeply wrong. Yet the power of present-day ideas is so great that many feel uncomfortable, even afraid, to say open</vt:lpwstr>
  </property>
  <property fmtid="{D5CDD505-2E9C-101B-9397-08002B2CF9AE}" pid="498" name="ZOTERO_BREF_eBkf9kWX6BR9_4">
    <vt:lpwstr>ly that they dislike what is happening, because they are afraid to seem foolish, afraid perhaps that they will be laughed at.  Now, at last, there is a coherent theory which describes in modern terms an architecture as ancient as human society itself.  Th</vt:lpwstr>
  </property>
  <property fmtid="{D5CDD505-2E9C-101B-9397-08002B2CF9AE}" pid="499" name="ZOTERO_BREF_eBkf9kWX6BR9_5">
    <vt:lpwstr>e Timeless Way of Buildingis the introductory volume in the Center for Environmental Structure series, Christopher Alexander presents in it a new theory of architecture, building, and planning which has at its core that age-old process by which the people</vt:lpwstr>
  </property>
  <property fmtid="{D5CDD505-2E9C-101B-9397-08002B2CF9AE}" pid="500" name="ZOTERO_BREF_eBkf9kWX6BR9_6">
    <vt:lpwstr> of a society have always pulled the order of their world from their own being.  Alexander writes, \"There is one timeless way of building. It is thousands of years old, and the same today as it has always been. The great traditional buildings of the past</vt:lpwstr>
  </property>
  <property fmtid="{D5CDD505-2E9C-101B-9397-08002B2CF9AE}" pid="501" name="ZOTERO_BREF_eBkf9kWX6BR9_7">
    <vt:lpwstr>, the villages and tents and temples in which man feels at home, have always been made by people who were very close to the center of this way. And as you will see, this way will lead anyone who looks for it to buildings which are themselves as ancient in</vt:lpwstr>
  </property>
  <property fmtid="{D5CDD505-2E9C-101B-9397-08002B2CF9AE}" pid="502" name="ZOTERO_BREF_eBkf9kWX6BR9_8">
    <vt:lpwstr> their form as the trees and hills, and as our faces are.\"","URL":"http://books.google.ca/books?id=H6CE9hlbO8sC","ISBN":"978-0-19-502402-9","language":"en","author":[{"family":"Alexander","given":"Christopher"}],"issued":{"date-parts":[["1979"]]}},"locat</vt:lpwstr>
  </property>
  <property fmtid="{D5CDD505-2E9C-101B-9397-08002B2CF9AE}" pid="503" name="ZOTERO_BREF_eBkf9kWX6BR9_9">
    <vt:lpwstr>or":"260-261","label":"page"}],"schema":"https://github.com/citation-style-language/schema/raw/master/csl-citation.json"}</vt:lpwstr>
  </property>
  <property fmtid="{D5CDD505-2E9C-101B-9397-08002B2CF9AE}" pid="504" name="ZOTERO_BREF_eG7GFeK4yXDw_1">
    <vt:lpwstr>ZOTERO_ITEM CSL_CITATION {"citationID":"aHkyopSK","properties":{"formattedCitation":"(Alexander, 1979, p. 247)","plainCitation":"(Alexander, 1979, p. 247)"},"citationItems":[{"id":1391,"uris":["http://zotero.org/users/10578/items/TE8TRH3R"],"uri":["http:/</vt:lpwstr>
  </property>
  <property fmtid="{D5CDD505-2E9C-101B-9397-08002B2CF9AE}" pid="505" name="ZOTERO_BREF_eG7GFeK4yXDw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506" name="ZOTERO_BREF_eG7GFeK4yXDw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507" name="ZOTERO_BREF_eG7GFeK4yXDw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508" name="ZOTERO_BREF_eG7GFeK4yXDw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509" name="ZOTERO_BREF_eG7GFeK4yXDw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510" name="ZOTERO_BREF_eG7GFeK4yXDw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511" name="ZOTERO_BREF_eG7GFeK4yXDw_8">
    <vt:lpwstr>lls, and as our faces are.\"","URL":"http://books.google.ca/books?id=H6CE9hlbO8sC","ISBN":"978-0-19-502402-9","language":"en","author":[{"family":"Alexander","given":"Christopher"}],"issued":{"date-parts":[["1979"]]}},"locator":"247","label":"page"}],"sch</vt:lpwstr>
  </property>
  <property fmtid="{D5CDD505-2E9C-101B-9397-08002B2CF9AE}" pid="512" name="ZOTERO_BREF_eG7GFeK4yXDw_9">
    <vt:lpwstr>ema":"https://github.com/citation-style-language/schema/raw/master/csl-citation.json"}</vt:lpwstr>
  </property>
  <property fmtid="{D5CDD505-2E9C-101B-9397-08002B2CF9AE}" pid="513" name="ZOTERO_BREF_eOQbdC1gMVdf_1">
    <vt:lpwstr>ZOTERO_ITEM CSL_CITATION {"citationID":"gXOqeuLE","properties":{"formattedCitation":"(Cockburn, 2011)","plainCitation":"(Cockburn, 2011)"},"citationItems":[{"id":1309,"uris":["http://zotero.org/users/10578/items/FXC8P9T7"],"uri":["http://zotero.org/users/</vt:lpwstr>
  </property>
  <property fmtid="{D5CDD505-2E9C-101B-9397-08002B2CF9AE}" pid="514" name="ZOTERO_BREF_eOQbdC1gMVdf_2">
    <vt:lpwstr>10578/items/FXC8P9T7"],"itemData":{"id":1309,"type":"post-weblog","title":"It started in 2001 with the Manifesto","container-title":"Agile Manifesto 2001-2011","URL":"http://10yearsagile.org/it-started-in-2001-with-the-manifesto#more-483","author":[{"fami</vt:lpwstr>
  </property>
  <property fmtid="{D5CDD505-2E9C-101B-9397-08002B2CF9AE}" pid="515" name="ZOTERO_BREF_eOQbdC1gMVdf_3">
    <vt:lpwstr>ly":"Cockburn","given":"Alistair"}],"issued":{"date-parts":[["2011",1,2]]},"accessed":{"date-parts":[["2014",1,11]]}}}],"schema":"https://github.com/citation-style-language/schema/raw/master/csl-citation.json"}</vt:lpwstr>
  </property>
  <property fmtid="{D5CDD505-2E9C-101B-9397-08002B2CF9AE}" pid="516" name="ZOTERO_BREF_f3n3UqxJLfbI_1">
    <vt:lpwstr>ZOTERO_ITEM CSL_CITATION {"citationID":"LI1uhb9D","properties":{"formattedCitation":"(Holling, 2001, p. 398)","plainCitation":"(Holling, 2001, p. 398)"},"citationItems":[{"id":641,"uris":["http://zotero.org/users/10578/items/4WVJ6ZIT"],"uri":["http://zote</vt:lpwstr>
  </property>
  <property fmtid="{D5CDD505-2E9C-101B-9397-08002B2CF9AE}" pid="517" name="ZOTERO_BREF_f3n3UqxJLfbI_2">
    <vt:lpwstr>ro.org/users/10578/items/4WVJ6ZIT"],"itemData":{"id":641,"type":"article-journal","title":"Understanding the Complexity of Economic, Ecological, and Social Systems","container-title":"Ecosystems","page":"390-405","volume":"4","issue":"5","source":"CrossRe</vt:lpwstr>
  </property>
  <property fmtid="{D5CDD505-2E9C-101B-9397-08002B2CF9AE}" pid="518" name="ZOTERO_BREF_f3n3UqxJLfbI_3">
    <vt:lpwstr>f","URL":"http://dx.doi.org/10.1007/s10021-001-0101-5","DOI":"10.1007/s10021-001-0101-5","ISSN":"1432-9840","journalAbbreviation":"Ecosystems","author":[{"family":"Holling","given":"C. S."}],"issued":{"date-parts":[["2001"]]},"accessed":{"date-parts":[["2</vt:lpwstr>
  </property>
  <property fmtid="{D5CDD505-2E9C-101B-9397-08002B2CF9AE}" pid="519" name="ZOTERO_BREF_f3n3UqxJLfbI_4">
    <vt:lpwstr>010",8,10]]}},"locator":"398","label":"page"}],"schema":"https://github.com/citation-style-language/schema/raw/master/csl-citation.json"}</vt:lpwstr>
  </property>
  <property fmtid="{D5CDD505-2E9C-101B-9397-08002B2CF9AE}" pid="520" name="ZOTERO_BREF_fGkrzyVtAmNn_1">
    <vt:lpwstr>ZOTERO_ITEM CSL_CITATION {"citationID":"eKW8gNtQ","properties":{"formattedCitation":"(Dreyfus, 1990, p. 192)","plainCitation":"(Dreyfus, 1990, p. 192)"},"citationItems":[{"id":1323,"uris":["http://zotero.org/users/10578/items/H9TD54EH"],"uri":["http://zot</vt:lpwstr>
  </property>
  <property fmtid="{D5CDD505-2E9C-101B-9397-08002B2CF9AE}" pid="521" name="ZOTERO_BREF_fGkrzyVtAmNn_2">
    <vt:lpwstr>ero.org/users/10578/items/H9TD54EH"],"itemData":{"id":1323,"type":"book","title":"Being-in-the-world: A Commentary on Heidegger's Being and Time, Division I.","publisher":"Mit Press","source":"Google Scholar","URL":"http://books.google.com/books?id=ACIxwx</vt:lpwstr>
  </property>
  <property fmtid="{D5CDD505-2E9C-101B-9397-08002B2CF9AE}" pid="522" name="ZOTERO_BREF_fGkrzyVtAmNn_3">
    <vt:lpwstr>Bq2ZgC","shortTitle":"Being-in-the-world","author":[{"family":"Dreyfus","given":"Hubert L."}],"issued":{"date-parts":[["1990"]]},"accessed":{"date-parts":[["2012",12,6]]}},"locator":"192","label":"page"}],"schema":"https://github.com/citation-style-langua</vt:lpwstr>
  </property>
  <property fmtid="{D5CDD505-2E9C-101B-9397-08002B2CF9AE}" pid="523" name="ZOTERO_BREF_fGkrzyVtAmNn_4">
    <vt:lpwstr>ge/schema/raw/master/csl-citation.json"}</vt:lpwstr>
  </property>
  <property fmtid="{D5CDD505-2E9C-101B-9397-08002B2CF9AE}" pid="524" name="ZOTERO_BREF_fr0OAoGZIyTU_1">
    <vt:lpwstr>ZOTERO_ITEM CSL_CITATION {"citationID":"175ruCel","properties":{"formattedCitation":"(Alexander, 2004, p. 336)","plainCitation":"(Alexander, 2004, p. 336)"},"citationItems":[{"id":16545,"uris":["http://zotero.org/users/10578/items/7CJZN95F"],"uri":["http:</vt:lpwstr>
  </property>
  <property fmtid="{D5CDD505-2E9C-101B-9397-08002B2CF9AE}" pid="525" name="ZOTERO_BREF_fr0OAoGZIyTU_2">
    <vt:lpwstr>//zotero.org/users/10578/items/7CJZN95F"],"itemData":{"id":16545,"type":"book","title":"The Luminous Ground: An essay on the art of building and the nature of the universe","collection-title":"The Nature of Order: An Essay on the Art of Building and the N</vt:lpwstr>
  </property>
  <property fmtid="{D5CDD505-2E9C-101B-9397-08002B2CF9AE}" pid="526" name="ZOTERO_BREF_fr0OAoGZIyTU_3">
    <vt:lpwstr>ature of the Universe","collection-number":"Book 4","publisher":"Center for Environmental Structure","volume":"10","number-of-pages":"380","source":"Google Books","abstract":"The four volumes of The Nature of Order explore the thesis that living structure</vt:lpwstr>
  </property>
  <property fmtid="{D5CDD505-2E9C-101B-9397-08002B2CF9AE}" pid="527" name="ZOTERO_BREF_fr0OAoGZIyTU_4">
    <vt:lpwstr> depends on features which make a close connection with the human self, and that only living structure has the capacity to support human well-being. The four complementary views give a masterful prescription for the processes which allow us to generate li</vt:lpwstr>
  </property>
  <property fmtid="{D5CDD505-2E9C-101B-9397-08002B2CF9AE}" pid="528" name="ZOTERO_BREF_fr0OAoGZIyTU_5">
    <vt:lpwstr>ving structure in the world. They show us what such a world must gradually come to look like, and describe the modified cosmology in which \"life\" as an essential quality, together with our inner connection to the world around us-towns, streets, building</vt:lpwstr>
  </property>
  <property fmtid="{D5CDD505-2E9C-101B-9397-08002B2CF9AE}" pid="529" name="ZOTERO_BREF_fr0OAoGZIyTU_6">
    <vt:lpwstr>s, and artifacts-are central to a proper understanding of the scientific nature of the universe. \". . . Five hundred years is a long time, and I don't expect many of the people I interview will be known in the year 2500. Christopher Alexander may be an e</vt:lpwstr>
  </property>
  <property fmtid="{D5CDD505-2E9C-101B-9397-08002B2CF9AE}" pid="530" name="ZOTERO_BREF_fr0OAoGZIyTU_7">
    <vt:lpwstr>xception.\"-David Creelman, author, interviewer and editor, HR Magazine, Toronto Christopher Alexander is a fellow of the American Academy of Arts and Sciences, architect, builder and author of many books and technical papers. He is the winner of the firs</vt:lpwstr>
  </property>
  <property fmtid="{D5CDD505-2E9C-101B-9397-08002B2CF9AE}" pid="531" name="ZOTERO_BREF_fr0OAoGZIyTU_8">
    <vt:lpwstr>t medal for research ever awarded by the American Institute of Architects, and after 40 years of teaching is Professor Emeritus at the University of California, Berkeley.","ISBN":"978-0-9726529-0-2","shortTitle":"The luminous ground","language":"en","auth</vt:lpwstr>
  </property>
  <property fmtid="{D5CDD505-2E9C-101B-9397-08002B2CF9AE}" pid="532" name="ZOTERO_BREF_fr0OAoGZIyTU_9">
    <vt:lpwstr>or":[{"family":"Alexander","given":"Christopher"}],"issued":{"date-parts":[["2004"]]}},"locator":"336","label":"page"}],"schema":"https://github.com/citation-style-language/schema/raw/master/csl-citation.json"}</vt:lpwstr>
  </property>
  <property fmtid="{D5CDD505-2E9C-101B-9397-08002B2CF9AE}" pid="533" name="ZOTERO_BREF_gJqLavbB8zAH_1">
    <vt:lpwstr>ZOTERO_ITEM CSL_CITATION {"citationID":"ikWNgKxm","properties":{"formattedCitation":"{\\rtf (Pe\\uc0\\u241{}a &amp; Focke, 1969, p. 4)}","plainCitation":"(Peña &amp; Focke, 1969, p. 4)"},"citationItems":[{"id":1910,"uris":["http://zotero.org/users/10578/items/A4P</vt:lpwstr>
  </property>
  <property fmtid="{D5CDD505-2E9C-101B-9397-08002B2CF9AE}" pid="534" name="ZOTERO_BREF_gJqLavbB8zAH_2">
    <vt:lpwstr>3QNSX"],"uri":["http://zotero.org/users/10578/items/A4P3QNSX"],"itemData":{"id":1910,"type":"book","title":"Problem Seeking: New directions in architectural programming","publisher":"Caudill, Rowlett and Scott","publisher-place":"Houston, TX","number-of-p</vt:lpwstr>
  </property>
  <property fmtid="{D5CDD505-2E9C-101B-9397-08002B2CF9AE}" pid="535" name="ZOTERO_BREF_gJqLavbB8zAH_3">
    <vt:lpwstr>ages":"44","edition":"1st","source":"eric.ed.gov","event-place":"Houston, TX","abstract":"The rationale, principles, and methods of pre-design architectural programing are explained for those responsible for overall policy decision-making in the area of f</vt:lpwstr>
  </property>
  <property fmtid="{D5CDD505-2E9C-101B-9397-08002B2CF9AE}" pid="536" name="ZOTERO_BREF_gJqLavbB8zAH_4">
    <vt:lpwstr>acility planning. This programing process provides an orderly framework that aids the architect in defining a client's total problem. A general background is given on data collection, team composition, communications, and various approaches to programing.</vt:lpwstr>
  </property>
  <property fmtid="{D5CDD505-2E9C-101B-9397-08002B2CF9AE}" pid="537" name="ZOTERO_BREF_gJqLavbB8zAH_5">
    <vt:lpwstr> Also discussed are communication between architect and client, techniques for processing information, and the future of programing. Diagrams and charts graphically illustrate each major topic. (TC)","URL":"http://eric.ed.gov/?id=ED037930","language":"en"</vt:lpwstr>
  </property>
  <property fmtid="{D5CDD505-2E9C-101B-9397-08002B2CF9AE}" pid="538" name="ZOTERO_BREF_gJqLavbB8zAH_6">
    <vt:lpwstr>,"author":[{"family":"Peña","given":"William M."},{"family":"Focke","given":"John W."}],"issued":{"date-parts":[["1969"]]},"accessed":{"date-parts":[["2014",9,2]]}},"locator":"4","label":"page"}],"schema":"https://github.com/citation-style-language/schema</vt:lpwstr>
  </property>
  <property fmtid="{D5CDD505-2E9C-101B-9397-08002B2CF9AE}" pid="539" name="ZOTERO_BREF_gJqLavbB8zAH_7">
    <vt:lpwstr>/raw/master/csl-citation.json"}</vt:lpwstr>
  </property>
  <property fmtid="{D5CDD505-2E9C-101B-9397-08002B2CF9AE}" pid="540" name="ZOTERO_BREF_gNmjooZgczXm_1">
    <vt:lpwstr>ZOTERO_ITEM CSL_CITATION {"citationID":"11M4aZNZ","properties":{"formattedCitation":"(Ingold, 2000b, p. 193)","plainCitation":"(Ingold, 2000b, p. 193)"},"citationItems":[{"id":16352,"uris":["http://zotero.org/users/10578/items/U3B5US3M"],"uri":["http://zo</vt:lpwstr>
  </property>
  <property fmtid="{D5CDD505-2E9C-101B-9397-08002B2CF9AE}" pid="541" name="ZOTERO_BREF_gNmjooZgczXm_2">
    <vt:lpwstr>tero.org/users/10578/items/U3B5US3M"],"itemData":{"id":16352,"type":"chapter","title":"The temporality of the landscape","container-title":"The Perception of the Environment: Essays on Livelihood, Dwelling and Skill","publisher":"Routledge","page":"189-20</vt:lpwstr>
  </property>
  <property fmtid="{D5CDD505-2E9C-101B-9397-08002B2CF9AE}" pid="542" name="ZOTERO_BREF_gNmjooZgczXm_3">
    <vt:lpwstr>8","source":"Google Books","abstract":"In this work Tim Ingold offers a persuasive approach to understanding how human beings perceive their surroundings. He argues that what we are used to calling cultural variation consists, in the first place, of varia</vt:lpwstr>
  </property>
  <property fmtid="{D5CDD505-2E9C-101B-9397-08002B2CF9AE}" pid="543" name="ZOTERO_BREF_gNmjooZgczXm_4">
    <vt:lpwstr>tions in skill. Neither innate nor acquired, skills are grown, incorporated into the human organism through practice and training in an environment. They are thus as much biological as cultural. The twenty-three essays comprising this book focus in turn o</vt:lpwstr>
  </property>
  <property fmtid="{D5CDD505-2E9C-101B-9397-08002B2CF9AE}" pid="544" name="ZOTERO_BREF_gNmjooZgczXm_5">
    <vt:lpwstr>n the procurement of livelihood, on what it means to 'dwell', and on the nature of skill, weaving together approaches from social anthropology, ecological psychology, developmental biology and phenomenology in a way that has never been attempted before. T</vt:lpwstr>
  </property>
  <property fmtid="{D5CDD505-2E9C-101B-9397-08002B2CF9AE}" pid="545" name="ZOTERO_BREF_gNmjooZgczXm_6">
    <vt:lpwstr>he book is set to revolutionise the way we think about what is 'biological' and 'cultural' in humans, about evolution and history, and indeed about what it means for human beings - at once organisms and persons - to inhabit an environment. The Perception </vt:lpwstr>
  </property>
  <property fmtid="{D5CDD505-2E9C-101B-9397-08002B2CF9AE}" pid="546" name="ZOTERO_BREF_gNmjooZgczXm_7">
    <vt:lpwstr>of the Environment will be essential reading not only for anthropologists but also for biologists, psychologists, archaeologists, geographers and philosophers.","URL":"https://books.google.com/books?id=_4p-UhXZV70C","ISBN":"978-0-415-22832-9","language":"</vt:lpwstr>
  </property>
  <property fmtid="{D5CDD505-2E9C-101B-9397-08002B2CF9AE}" pid="547" name="ZOTERO_BREF_gNmjooZgczXm_8">
    <vt:lpwstr>en","author":[{"family":"Ingold","given":"Tim"}],"issued":{"date-parts":[["2000"]]}},"locator":"193","label":"page"}],"schema":"https://github.com/citation-style-language/schema/raw/master/csl-citation.json"}</vt:lpwstr>
  </property>
  <property fmtid="{D5CDD505-2E9C-101B-9397-08002B2CF9AE}" pid="548" name="ZOTERO_BREF_gTWXrUC37u6Q_1">
    <vt:lpwstr/>
  </property>
  <property fmtid="{D5CDD505-2E9C-101B-9397-08002B2CF9AE}" pid="549" name="ZOTERO_BREF_gnoK0SVl2caK_1">
    <vt:lpwstr>ZOTERO_ITEM CSL_CITATION {"citationID":"8WQD1cCf","properties":{"formattedCitation":"{\\rtf (Ingold, 2011b, pp. 45\\uc0\\u8211{}46)}","plainCitation":"(Ingold, 2011b, pp. 45–46)"},"citationItems":[{"id":16365,"uris":["http://zotero.org/users/10578/items/2</vt:lpwstr>
  </property>
  <property fmtid="{D5CDD505-2E9C-101B-9397-08002B2CF9AE}" pid="550" name="ZOTERO_BREF_gnoK0SVl2caK_2">
    <vt:lpwstr>Q44UHDS"],"uri":["http://zotero.org/users/10578/items/2Q44UHDS"],"itemData":{"id":16365,"type":"chapter","title":"Culture on the Ground: The World Perceived through the Feet","container-title":"Being Alive: Essays on Movement, Knowledge and Description","</vt:lpwstr>
  </property>
  <property fmtid="{D5CDD505-2E9C-101B-9397-08002B2CF9AE}" pid="551" name="ZOTERO_BREF_gnoK0SVl2caK_3">
    <vt:lpwstr>publisher":"Routledge","page":"33-50","source":"Google Books","abstract":"Anthropology is a disciplined inquiry into the conditions and potentials of human life. Generations of theorists, however, have expunged life from their accounts, treating it as the</vt:lpwstr>
  </property>
  <property fmtid="{D5CDD505-2E9C-101B-9397-08002B2CF9AE}" pid="552" name="ZOTERO_BREF_gnoK0SVl2caK_4">
    <vt:lpwstr> mere output of patterns, codes, structures or systems variously defined as genetic or cultural, natural or social. Building on his classic work The Perception of the Environment, Tim Ingold sets out to restore life to where it should belong, at the heart</vt:lpwstr>
  </property>
  <property fmtid="{D5CDD505-2E9C-101B-9397-08002B2CF9AE}" pid="553" name="ZOTERO_BREF_gnoK0SVl2caK_5">
    <vt:lpwstr> of anthropological concern.  Being Alive ranges over such themes as the vitality of materials, what it means to make things, the perception and formation of the ground, the mingling of earth and sky in the weather-world, the experiences of light, sound a</vt:lpwstr>
  </property>
  <property fmtid="{D5CDD505-2E9C-101B-9397-08002B2CF9AE}" pid="554" name="ZOTERO_BREF_gnoK0SVl2caK_6">
    <vt:lpwstr>nd feeling, the role of storytelling in the integration of knowledge, and the potential of drawing to unite observation and description.  Our humanity, Ingold argues, does not come ready-made but is continually fashioned in our movements along ways of lif</vt:lpwstr>
  </property>
  <property fmtid="{D5CDD505-2E9C-101B-9397-08002B2CF9AE}" pid="555" name="ZOTERO_BREF_gnoK0SVl2caK_7">
    <vt:lpwstr>e. Starting from the idea of life as a process of wayfaring, Ingold presents a radically new understanding of movement, knowledge and description as dimensions not just of being in the world, but of being alive to what is going on there.","ISBN":"978-1-13</vt:lpwstr>
  </property>
  <property fmtid="{D5CDD505-2E9C-101B-9397-08002B2CF9AE}" pid="556" name="ZOTERO_BREF_gnoK0SVl2caK_8">
    <vt:lpwstr>6-73543-1","language":"en","author":[{"family":"Ingold","given":"Tim"}],"issued":{"date-parts":[["2011"]]}},"locator":"45-46","label":"page"}],"schema":"https://github.com/citation-style-language/schema/raw/master/csl-citation.json"}</vt:lpwstr>
  </property>
  <property fmtid="{D5CDD505-2E9C-101B-9397-08002B2CF9AE}" pid="557" name="ZOTERO_BREF_hHcbG7qiqEjA_1">
    <vt:lpwstr>ZOTERO_ITEM CSL_CITATION {"citationID":"kmtp7UG1","properties":{"formattedCitation":"(Alexander, 2003, p. 6)","plainCitation":"(Alexander, 2003, p. 6)"},"citationItems":[{"id":16452,"uris":["http://zotero.org/users/10578/items/S6VMBPDC"],"uri":["http://zo</vt:lpwstr>
  </property>
  <property fmtid="{D5CDD505-2E9C-101B-9397-08002B2CF9AE}" pid="558" name="ZOTERO_BREF_hHcbG7qiqEjA_2">
    <vt:lpwstr>tero.org/users/10578/items/S6VMBPDC"],"itemData":{"id":16452,"type":"manuscript","title":"New Concepts In Complexity Theory: A Scientific Introduction to the Concepts in the Nature of Order","URL":"http://www.natureoforder.com/library-of-articles.htm","au</vt:lpwstr>
  </property>
  <property fmtid="{D5CDD505-2E9C-101B-9397-08002B2CF9AE}" pid="559" name="ZOTERO_BREF_hHcbG7qiqEjA_3">
    <vt:lpwstr>thor":[{"family":"Alexander","given":"Christopher"}],"issued":{"date-parts":[["2003",5]]}},"locator":"6","label":"page"}],"schema":"https://github.com/citation-style-language/schema/raw/master/csl-citation.json"}</vt:lpwstr>
  </property>
  <property fmtid="{D5CDD505-2E9C-101B-9397-08002B2CF9AE}" pid="560" name="ZOTERO_BREF_hOoaiJK7xWu7_1">
    <vt:lpwstr>ZOTERO_ITEM CSL_CITATION {"citationID":"8xr8DIvV","properties":{"formattedCitation":"(Bateson, 1963)","plainCitation":"(Bateson, 1963)"},"citationItems":[{"id":16503,"uris":["http://zotero.org/users/10578/items/P85EPXUW"],"uri":["http://zotero.org/users/1</vt:lpwstr>
  </property>
  <property fmtid="{D5CDD505-2E9C-101B-9397-08002B2CF9AE}" pid="561" name="ZOTERO_BREF_hOoaiJK7xWu7_2">
    <vt:lpwstr>0578/items/P85EPXUW"],"itemData":{"id":16503,"type":"article-journal","title":"The Role of Somatic Change in Evolution","container-title":"Evolution","page":"529-539","volume":"17","issue":"4","URL":"http://dx.doi.org/10.2307/2407104","DOI":"10.2307/24071</vt:lpwstr>
  </property>
  <property fmtid="{D5CDD505-2E9C-101B-9397-08002B2CF9AE}" pid="562" name="ZOTERO_BREF_hOoaiJK7xWu7_3">
    <vt:lpwstr>04","author":[{"family":"Bateson","given":"Gregory"}],"issued":{"date-parts":[["1963",12]]},"accessed":{"date-parts":[["2016",7,19]]}}}],"schema":"https://github.com/citation-style-language/schema/raw/master/csl-citation.json"}</vt:lpwstr>
  </property>
  <property fmtid="{D5CDD505-2E9C-101B-9397-08002B2CF9AE}" pid="563" name="ZOTERO_BREF_hmxtfQKE3HKX_1">
    <vt:lpwstr>ZOTERO_ITEM CSL_CITATION {"citationID":"8AMrQpGr","properties":{"formattedCitation":"(Cunningham, 1995)","plainCitation":"(Cunningham, 1995)"},"citationItems":[{"id":16649,"uris":["http://zotero.org/users/10578/items/WKJEJHC8"],"uri":["http://zotero.org/u</vt:lpwstr>
  </property>
  <property fmtid="{D5CDD505-2E9C-101B-9397-08002B2CF9AE}" pid="564" name="ZOTERO_BREF_hmxtfQKE3HKX_2">
    <vt:lpwstr>sers/10578/items/WKJEJHC8"],"itemData":{"id":16649,"type":"webpage","title":"Wiki History","container-title":"Cunningham &amp; Cunningham, Inc.","genre":"C2 Wiki","URL":"http://c2.com/cgi/wiki?WikiHistory","author":[{"family":"Cunningham","given":"Ward"}],"is</vt:lpwstr>
  </property>
  <property fmtid="{D5CDD505-2E9C-101B-9397-08002B2CF9AE}" pid="565" name="ZOTERO_BREF_hmxtfQKE3HKX_3">
    <vt:lpwstr>sued":{"date-parts":[["1995"]]},"accessed":{"date-parts":[["2016",9,29]]}}}],"schema":"https://github.com/citation-style-language/schema/raw/master/csl-citation.json"}</vt:lpwstr>
  </property>
  <property fmtid="{D5CDD505-2E9C-101B-9397-08002B2CF9AE}" pid="566" name="ZOTERO_BREF_iMehN0N9rGAw1_1">
    <vt:lpwstr>ZOTERO_ITEM CSL_CITATION {"citationID":"n0F43Fkn","properties":{"formattedCitation":"{\\rtf (Alexander, 2012, Chapters 8\\uc0\\u8211{}11)}","plainCitation":"(Alexander, 2012, Chapters 8–11)"},"citationItems":[{"id":1806,"uris":["http://zotero.org/users/10</vt:lpwstr>
  </property>
  <property fmtid="{D5CDD505-2E9C-101B-9397-08002B2CF9AE}" pid="567" name="ZOTERO_BREF_iMehN0N9rGAw1_10">
    <vt:lpwstr>ncludes the best current practices, enriched by a range of new processes that support the houses, communities, and health of all who inhabit the Earth.","URL":"http://books.google.com/books?id=xAMEywAACAAJ","ISBN":"978-0-19-989807-7","shortTitle":"The Bat</vt:lpwstr>
  </property>
  <property fmtid="{D5CDD505-2E9C-101B-9397-08002B2CF9AE}" pid="568" name="ZOTERO_BREF_iMehN0N9rGAw1_11">
    <vt:lpwstr>tle for the Life and Beauty of the Earth","language":"en","author":[{"family":"Alexander","given":"Christopher"}],"issued":{"date-parts":[["2012"]]}},"locator":"8-11","label":"chapter"}],"schema":"https://github.com/citation-style-language/schema/raw/mast</vt:lpwstr>
  </property>
  <property fmtid="{D5CDD505-2E9C-101B-9397-08002B2CF9AE}" pid="569" name="ZOTERO_BREF_iMehN0N9rGAw1_12">
    <vt:lpwstr>er/csl-citation.json"}</vt:lpwstr>
  </property>
  <property fmtid="{D5CDD505-2E9C-101B-9397-08002B2CF9AE}" pid="570" name="ZOTERO_BREF_iMehN0N9rGAw1_2">
    <vt:lpwstr>578/items/92KZ7VSH"],"uri":["http://zotero.org/users/10578/items/92KZ7VSH"],"itemData":{"id":1806,"type":"book","title":"The Battle for the Life and Beauty of the Earth: A Struggle Between Two World-Systems","publisher":"Oxford University Press","number-o</vt:lpwstr>
  </property>
  <property fmtid="{D5CDD505-2E9C-101B-9397-08002B2CF9AE}" pid="571" name="ZOTERO_BREF_iMehN0N9rGAw1_3">
    <vt:lpwstr>f-pages":"528","source":"Google Books","abstract":"The purpose of all architecture, writes Christopher Alexander, is to encourage and support life-giving activity, dreams, and playfulness. But in recent decades, while our buildings are technically better-</vt:lpwstr>
  </property>
  <property fmtid="{D5CDD505-2E9C-101B-9397-08002B2CF9AE}" pid="572" name="ZOTERO_BREF_iMehN0N9rGAw1_4">
    <vt:lpwstr>-more sturdy, more waterproof, more energy efficient-- they have also became progressively more sterile, rarely providing the kind of environment in which people are emotionally nourished, genuinely happy, and deeply contented. Using the example of his bu</vt:lpwstr>
  </property>
  <property fmtid="{D5CDD505-2E9C-101B-9397-08002B2CF9AE}" pid="573" name="ZOTERO_BREF_iMehN0N9rGAw1_5">
    <vt:lpwstr>ilding of the Eishin Campus in Japan, Christopher Alexander and his collaborators reveal an ongoing dispute between two fundamentally different ways of shaping our world. One system places emphasis on subtleties, on finesse, on the structure of adaptation</vt:lpwstr>
  </property>
  <property fmtid="{D5CDD505-2E9C-101B-9397-08002B2CF9AE}" pid="574" name="ZOTERO_BREF_iMehN0N9rGAw1_6">
    <vt:lpwstr> that makes each tiny part fit into the larger context. The other system is concerned with efficiency, with money, power and control, stressing the more gross aspects of size, speed, and profit. This second, \"business-as-usual\" system, Alexander argues,</vt:lpwstr>
  </property>
  <property fmtid="{D5CDD505-2E9C-101B-9397-08002B2CF9AE}" pid="575" name="ZOTERO_BREF_iMehN0N9rGAw1_7">
    <vt:lpwstr> is incapable of creating the kind of environment that is able to genuinely support the emotional, whole-making side of human life. To confront this sterile system, the book presents a new architecture that we--both as a world-wide civilization, and as in</vt:lpwstr>
  </property>
  <property fmtid="{D5CDD505-2E9C-101B-9397-08002B2CF9AE}" pid="576" name="ZOTERO_BREF_iMehN0N9rGAw1_8">
    <vt:lpwstr>dividual people and cultures--can create, using new processes that allow us to build places of human energy and beauty. The book outlines nine ways of working, each one fully dedicated to wholeness, and able to support day-to-day activities that will make</vt:lpwstr>
  </property>
  <property fmtid="{D5CDD505-2E9C-101B-9397-08002B2CF9AE}" pid="577" name="ZOTERO_BREF_iMehN0N9rGAw1_9">
    <vt:lpwstr> planning, design and construction possible in an entirely new way, and in more humane ways. An innovative thinker about building techniques and planning, Christopher Alexander has attracted a devoted following. Here he introduces a way of building that i</vt:lpwstr>
  </property>
  <property fmtid="{D5CDD505-2E9C-101B-9397-08002B2CF9AE}" pid="578" name="ZOTERO_BREF_iMehN0N9rGAw_1">
    <vt:lpwstr>ZOTERO_ITEM CSL_CITATION {"citationID":"cqt6VfiH","properties":{"formattedCitation":"{\\rtf (Alexander, 2012, Chapters 8\\uc0\\u8211{}11)}","plainCitation":"(Alexander, 2012, Chapters 8–11)"},"citationItems":[{"id":1806,"uris":["http://zotero.org/users/10</vt:lpwstr>
  </property>
  <property fmtid="{D5CDD505-2E9C-101B-9397-08002B2CF9AE}" pid="579" name="ZOTERO_BREF_iMehN0N9rGAw_10">
    <vt:lpwstr>ncludes the best current practices, enriched by a range of new processes that support the houses, communities, and health of all who inhabit the Earth.","URL":"http://books.google.com/books?id=xAMEywAACAAJ","ISBN":"978-0-19-989807-7","shortTitle":"The Bat</vt:lpwstr>
  </property>
  <property fmtid="{D5CDD505-2E9C-101B-9397-08002B2CF9AE}" pid="580" name="ZOTERO_BREF_iMehN0N9rGAw_11">
    <vt:lpwstr>tle for the Life and Beauty of the Earth","language":"en","author":[{"family":"Alexander","given":"Christopher"}],"issued":{"date-parts":[["2012"]]}},"locator":"8-11","label":"chapter"}],"schema":"https://github.com/citation-style-language/schema/raw/mast</vt:lpwstr>
  </property>
  <property fmtid="{D5CDD505-2E9C-101B-9397-08002B2CF9AE}" pid="581" name="ZOTERO_BREF_iMehN0N9rGAw_12">
    <vt:lpwstr>er/csl-citation.json"}</vt:lpwstr>
  </property>
  <property fmtid="{D5CDD505-2E9C-101B-9397-08002B2CF9AE}" pid="582" name="ZOTERO_BREF_iMehN0N9rGAw_2">
    <vt:lpwstr>578/items/92KZ7VSH"],"uri":["http://zotero.org/users/10578/items/92KZ7VSH"],"itemData":{"id":1806,"type":"book","title":"The Battle for the Life and Beauty of the Earth: A Struggle Between Two World-Systems","publisher":"Oxford University Press","number-o</vt:lpwstr>
  </property>
  <property fmtid="{D5CDD505-2E9C-101B-9397-08002B2CF9AE}" pid="583" name="ZOTERO_BREF_iMehN0N9rGAw_3">
    <vt:lpwstr>f-pages":"528","source":"Google Books","abstract":"The purpose of all architecture, writes Christopher Alexander, is to encourage and support life-giving activity, dreams, and playfulness. But in recent decades, while our buildings are technically better-</vt:lpwstr>
  </property>
  <property fmtid="{D5CDD505-2E9C-101B-9397-08002B2CF9AE}" pid="584" name="ZOTERO_BREF_iMehN0N9rGAw_4">
    <vt:lpwstr>-more sturdy, more waterproof, more energy efficient-- they have also became progressively more sterile, rarely providing the kind of environment in which people are emotionally nourished, genuinely happy, and deeply contented. Using the example of his bu</vt:lpwstr>
  </property>
  <property fmtid="{D5CDD505-2E9C-101B-9397-08002B2CF9AE}" pid="585" name="ZOTERO_BREF_iMehN0N9rGAw_5">
    <vt:lpwstr>ilding of the Eishin Campus in Japan, Christopher Alexander and his collaborators reveal an ongoing dispute between two fundamentally different ways of shaping our world. One system places emphasis on subtleties, on finesse, on the structure of adaptation</vt:lpwstr>
  </property>
  <property fmtid="{D5CDD505-2E9C-101B-9397-08002B2CF9AE}" pid="586" name="ZOTERO_BREF_iMehN0N9rGAw_6">
    <vt:lpwstr> that makes each tiny part fit into the larger context. The other system is concerned with efficiency, with money, power and control, stressing the more gross aspects of size, speed, and profit. This second, \"business-as-usual\" system, Alexander argues,</vt:lpwstr>
  </property>
  <property fmtid="{D5CDD505-2E9C-101B-9397-08002B2CF9AE}" pid="587" name="ZOTERO_BREF_iMehN0N9rGAw_7">
    <vt:lpwstr> is incapable of creating the kind of environment that is able to genuinely support the emotional, whole-making side of human life. To confront this sterile system, the book presents a new architecture that we--both as a world-wide civilization, and as in</vt:lpwstr>
  </property>
  <property fmtid="{D5CDD505-2E9C-101B-9397-08002B2CF9AE}" pid="588" name="ZOTERO_BREF_iMehN0N9rGAw_8">
    <vt:lpwstr>dividual people and cultures--can create, using new processes that allow us to build places of human energy and beauty. The book outlines nine ways of working, each one fully dedicated to wholeness, and able to support day-to-day activities that will make</vt:lpwstr>
  </property>
  <property fmtid="{D5CDD505-2E9C-101B-9397-08002B2CF9AE}" pid="589" name="ZOTERO_BREF_iMehN0N9rGAw_9">
    <vt:lpwstr> planning, design and construction possible in an entirely new way, and in more humane ways. An innovative thinker about building techniques and planning, Christopher Alexander has attracted a devoted following. Here he introduces a way of building that i</vt:lpwstr>
  </property>
  <property fmtid="{D5CDD505-2E9C-101B-9397-08002B2CF9AE}" pid="590" name="ZOTERO_BREF_iSsGrvkeqRJw_1">
    <vt:lpwstr>ZOTERO_ITEM CSL_CITATION {"citationID":"LC8qTWp2","properties":{"formattedCitation":"(Friend, 2006)","plainCitation":"(Friend, 2006)"},"citationItems":[{"id":16639,"uris":["http://zotero.org/users/10578/items/CVNP4Q3M"],"uri":["http://zotero.org/users/105</vt:lpwstr>
  </property>
  <property fmtid="{D5CDD505-2E9C-101B-9397-08002B2CF9AE}" pid="591" name="ZOTERO_BREF_iSsGrvkeqRJw_2">
    <vt:lpwstr>78/items/CVNP4Q3M"],"itemData":{"id":16639,"type":"article-journal","title":"Labels, Methodologies and Strategic Decision Support","container-title":"The Journal of the Operational Research Society","page":"772-775","volume":"57","issue":"7","source":"JST</vt:lpwstr>
  </property>
  <property fmtid="{D5CDD505-2E9C-101B-9397-08002B2CF9AE}" pid="592" name="ZOTERO_BREF_iSsGrvkeqRJw_3">
    <vt:lpwstr>OR","URL":"http://dx.doi.org/10.1057/palgrave.jors.2602089","DOI":"10.1057/palgrave.jors.2602089","ISSN":"0160-5682","journalAbbreviation":"The Journal of the Operational Research Society","author":[{"family":"Friend","given":"John"}],"issued":{"date-part</vt:lpwstr>
  </property>
  <property fmtid="{D5CDD505-2E9C-101B-9397-08002B2CF9AE}" pid="593" name="ZOTERO_BREF_iSsGrvkeqRJw_4">
    <vt:lpwstr>s":[["2006"]]},"accessed":{"date-parts":[["2016",9,26]]}}}],"schema":"https://github.com/citation-style-language/schema/raw/master/csl-citation.json"}</vt:lpwstr>
  </property>
  <property fmtid="{D5CDD505-2E9C-101B-9397-08002B2CF9AE}" pid="594" name="ZOTERO_BREF_iW4A0gH7nF7X_1">
    <vt:lpwstr>ZOTERO_ITEM CSL_CITATION {"citationID":"GBepzVrb","properties":{"formattedCitation":"(Wenger, 1999)","plainCitation":"(Wenger, 1999)"},"citationItems":[{"id":180,"uris":["http://zotero.org/users/10578/items/WIPMQFE8"],"uri":["http://zotero.org/users/10578</vt:lpwstr>
  </property>
  <property fmtid="{D5CDD505-2E9C-101B-9397-08002B2CF9AE}" pid="595" name="ZOTERO_BREF_iW4A0gH7nF7X_2">
    <vt:lpwstr>/items/WIPMQFE8"],"itemData":{"id":180,"type":"book","title":"Communities of practice: learning, meaning and identity","publisher":"Cambridge University Press","publisher-place":"Cambridge, UK","source":"Google Books","event-place":"Cambridge, UK","ISBN":</vt:lpwstr>
  </property>
  <property fmtid="{D5CDD505-2E9C-101B-9397-08002B2CF9AE}" pid="596" name="ZOTERO_BREF_iW4A0gH7nF7X_3">
    <vt:lpwstr>"0-521-66363-6","author":[{"family":"Wenger","given":"Etienne"}],"issued":{"date-parts":[["1999"]]}}}],"schema":"https://github.com/citation-style-language/schema/raw/master/csl-citation.json"}</vt:lpwstr>
  </property>
  <property fmtid="{D5CDD505-2E9C-101B-9397-08002B2CF9AE}" pid="597" name="ZOTERO_BREF_jSWdYoNSHA8C_1">
    <vt:lpwstr/>
  </property>
  <property fmtid="{D5CDD505-2E9C-101B-9397-08002B2CF9AE}" pid="598" name="ZOTERO_BREF_jdDoP1r2meWZ11_1">
    <vt:lpwstr>ZOTERO_ITEM CSL_CITATION {"citationID":"DEqD4sMt","properties":{"formattedCitation":"(Hirsch, 2012)","plainCitation":"(Hirsch, 2012)"},"citationItems":[{"id":16567,"uris":["http://zotero.org/users/10578/items/56QXGKB3"],"uri":["http://zotero.org/users/105</vt:lpwstr>
  </property>
  <property fmtid="{D5CDD505-2E9C-101B-9397-08002B2CF9AE}" pid="599" name="ZOTERO_BREF_jdDoP1r2meWZ11_2">
    <vt:lpwstr>78/items/56QXGKB3"],"itemData":{"id":16567,"type":"article-newspaper","title":"End of the line for Hunts Point clinic","container-title":"Hunts Point Express","URL":"http://brie.hunter.cuny.edu/hpe/2012/09/27/hunts-point-clinic-to-close-in-disgrace/","aut</vt:lpwstr>
  </property>
  <property fmtid="{D5CDD505-2E9C-101B-9397-08002B2CF9AE}" pid="600" name="ZOTERO_BREF_jdDoP1r2meWZ11_3">
    <vt:lpwstr>hor":[{"family":"Hirsch","given":"Joe"}],"issued":{"date-parts":[["2012",9,27]]},"accessed":{"date-parts":[["2016",8,27]]}}}],"schema":"https://github.com/citation-style-language/schema/raw/master/csl-citation.json"}</vt:lpwstr>
  </property>
  <property fmtid="{D5CDD505-2E9C-101B-9397-08002B2CF9AE}" pid="601" name="ZOTERO_BREF_jdDoP1r2meWZ_1">
    <vt:lpwstr>ZOTERO_ITEM CSL_CITATION {"citationID":"DEqD4sMt","properties":{"formattedCitation":"(Hirsch, 2012)","plainCitation":"(Hirsch, 2012)"},"citationItems":[{"id":16567,"uris":["http://zotero.org/users/10578/items/56QXGKB3"],"uri":["http://zotero.org/users/105</vt:lpwstr>
  </property>
  <property fmtid="{D5CDD505-2E9C-101B-9397-08002B2CF9AE}" pid="602" name="ZOTERO_BREF_jdDoP1r2meWZ_2">
    <vt:lpwstr>78/items/56QXGKB3"],"itemData":{"id":16567,"type":"article-newspaper","title":"End of the line for Hunts Point clinic","container-title":"Hunts Point Express","URL":"http://brie.hunter.cuny.edu/hpe/2012/09/27/hunts-point-clinic-to-close-in-disgrace/","aut</vt:lpwstr>
  </property>
  <property fmtid="{D5CDD505-2E9C-101B-9397-08002B2CF9AE}" pid="603" name="ZOTERO_BREF_jdDoP1r2meWZ_3">
    <vt:lpwstr>hor":[{"family":"Hirsch","given":"Joe"}],"issued":{"date-parts":[["2012",9,27]]},"accessed":{"date-parts":[["2016",8,27]]}}}],"schema":"https://github.com/citation-style-language/schema/raw/master/csl-citation.json"}</vt:lpwstr>
  </property>
  <property fmtid="{D5CDD505-2E9C-101B-9397-08002B2CF9AE}" pid="604" name="ZOTERO_BREF_kQV1eL3ffDk5_1">
    <vt:lpwstr>ZOTERO_ITEM CSL_CITATION {"citationID":"bgOJUBqg","properties":{"formattedCitation":"{\\rtf (Alexander, 2012, pp. 16\\uc0\\u8211{}17)}","plainCitation":"(Alexander, 2012, pp. 16–17)"},"citationItems":[{"id":1806,"uris":["http://zotero.org/users/10578/item</vt:lpwstr>
  </property>
  <property fmtid="{D5CDD505-2E9C-101B-9397-08002B2CF9AE}" pid="605" name="ZOTERO_BREF_kQV1eL3ffDk5_10">
    <vt:lpwstr>the best current practices, enriched by a range of new processes that support the houses, communities, and health of all who inhabit the Earth.","URL":"http://books.google.com/books?id=xAMEywAACAAJ","ISBN":"978-0-19-989807-7","shortTitle":"The Battle for </vt:lpwstr>
  </property>
  <property fmtid="{D5CDD505-2E9C-101B-9397-08002B2CF9AE}" pid="606" name="ZOTERO_BREF_kQV1eL3ffDk5_11">
    <vt:lpwstr>the Life and Beauty of the Earth","language":"en","author":[{"family":"Alexander","given":"Christopher"}],"issued":{"date-parts":[["2012"]]}},"locator":"16-17","label":"page"}],"schema":"https://github.com/citation-style-language/schema/raw/master/csl-cit</vt:lpwstr>
  </property>
  <property fmtid="{D5CDD505-2E9C-101B-9397-08002B2CF9AE}" pid="607" name="ZOTERO_BREF_kQV1eL3ffDk5_12">
    <vt:lpwstr>ation.json"}</vt:lpwstr>
  </property>
  <property fmtid="{D5CDD505-2E9C-101B-9397-08002B2CF9AE}" pid="608" name="ZOTERO_BREF_kQV1eL3ffDk5_2">
    <vt:lpwstr>s/92KZ7VSH"],"uri":["http://zotero.org/users/10578/items/92KZ7VSH"],"itemData":{"id":1806,"type":"book","title":"The Battle for the Life and Beauty of the Earth: A Struggle Between Two World-Systems","publisher":"Oxford University Press","number-of-pages"</vt:lpwstr>
  </property>
  <property fmtid="{D5CDD505-2E9C-101B-9397-08002B2CF9AE}" pid="609" name="ZOTERO_BREF_kQV1eL3ffDk5_3">
    <vt:lpwstr>:"528","source":"Google Books","abstract":"The purpose of all architecture, writes Christopher Alexander, is to encourage and support life-giving activity, dreams, and playfulness. But in recent decades, while our buildings are technically better--more st</vt:lpwstr>
  </property>
  <property fmtid="{D5CDD505-2E9C-101B-9397-08002B2CF9AE}" pid="610" name="ZOTERO_BREF_kQV1eL3ffDk5_4">
    <vt:lpwstr>urdy, more waterproof, more energy efficient-- they have also became progressively more sterile, rarely providing the kind of environment in which people are emotionally nourished, genuinely happy, and deeply contented. Using the example of his building o</vt:lpwstr>
  </property>
  <property fmtid="{D5CDD505-2E9C-101B-9397-08002B2CF9AE}" pid="611" name="ZOTERO_BREF_kQV1eL3ffDk5_5">
    <vt:lpwstr>f the Eishin Campus in Japan, Christopher Alexander and his collaborators reveal an ongoing dispute between two fundamentally different ways of shaping our world. One system places emphasis on subtleties, on finesse, on the structure of adaptation that ma</vt:lpwstr>
  </property>
  <property fmtid="{D5CDD505-2E9C-101B-9397-08002B2CF9AE}" pid="612" name="ZOTERO_BREF_kQV1eL3ffDk5_6">
    <vt:lpwstr>kes each tiny part fit into the larger context. The other system is concerned with efficiency, with money, power and control, stressing the more gross aspects of size, speed, and profit. This second, \"business-as-usual\" system, Alexander argues, is inca</vt:lpwstr>
  </property>
  <property fmtid="{D5CDD505-2E9C-101B-9397-08002B2CF9AE}" pid="613" name="ZOTERO_BREF_kQV1eL3ffDk5_7">
    <vt:lpwstr>pable of creating the kind of environment that is able to genuinely support the emotional, whole-making side of human life. To confront this sterile system, the book presents a new architecture that we--both as a world-wide civilization, and as individual</vt:lpwstr>
  </property>
  <property fmtid="{D5CDD505-2E9C-101B-9397-08002B2CF9AE}" pid="614" name="ZOTERO_BREF_kQV1eL3ffDk5_8">
    <vt:lpwstr> people and cultures--can create, using new processes that allow us to build places of human energy and beauty. The book outlines nine ways of working, each one fully dedicated to wholeness, and able to support day-to-day activities that will make plannin</vt:lpwstr>
  </property>
  <property fmtid="{D5CDD505-2E9C-101B-9397-08002B2CF9AE}" pid="615" name="ZOTERO_BREF_kQV1eL3ffDk5_9">
    <vt:lpwstr>g, design and construction possible in an entirely new way, and in more humane ways. An innovative thinker about building techniques and planning, Christopher Alexander has attracted a devoted following. Here he introduces a way of building that includes </vt:lpwstr>
  </property>
  <property fmtid="{D5CDD505-2E9C-101B-9397-08002B2CF9AE}" pid="616" name="ZOTERO_BREF_klMJNAcK8F23_1">
    <vt:lpwstr>ZOTERO_ITEM CSL_CITATION {"citationID":"wk0sC64k","properties":{"formattedCitation":"(Mayr, 1988a)","plainCitation":"(Mayr, 1988a)"},"citationItems":[{"id":16507,"uris":["http://zotero.org/users/10578/items/C4PCTBJG"],"uri":["http://zotero.org/users/10578</vt:lpwstr>
  </property>
  <property fmtid="{D5CDD505-2E9C-101B-9397-08002B2CF9AE}" pid="617" name="ZOTERO_BREF_klMJNAcK8F23_2">
    <vt:lpwstr>/items/C4PCTBJG"],"itemData":{"id":16507,"type":"chapter","title":"Cause and Effect in Biology","container-title":"Toward a New Philosophy of Biology: Observations of an Evolutionist","publisher":"Harvard University Press","page":"24-37","source":"Google </vt:lpwstr>
  </property>
  <property fmtid="{D5CDD505-2E9C-101B-9397-08002B2CF9AE}" pid="618" name="ZOTERO_BREF_klMJNAcK8F23_3">
    <vt:lpwstr>Books","abstract":"This is a beautifully presented collection of twenty-eight articles and essays, elegantly introduced and filled with important neologisms all contributing to clarity.","URL":"https://books.google.com/books?id=5f5kg_w2dJ4C","ISBN":"978-0</vt:lpwstr>
  </property>
  <property fmtid="{D5CDD505-2E9C-101B-9397-08002B2CF9AE}" pid="619" name="ZOTERO_BREF_klMJNAcK8F23_4">
    <vt:lpwstr>-674-89666-6","language":"en","author":[{"family":"Mayr","given":"Ernst"}],"issued":{"date-parts":[["1988"]]}}}],"schema":"https://github.com/citation-style-language/schema/raw/master/csl-citation.json"}</vt:lpwstr>
  </property>
  <property fmtid="{D5CDD505-2E9C-101B-9397-08002B2CF9AE}" pid="620" name="ZOTERO_BREF_krQrhkh5Yq3y_1">
    <vt:lpwstr>ZOTERO_ITEM CSL_CITATION {"citationID":"lfC53aEV","properties":{"formattedCitation":"(Ackoff &amp; Emery, 1972)","plainCitation":"(Ackoff &amp; Emery, 1972)"},"citationItems":[{"id":300,"uris":["http://zotero.org/users/10578/items/CMGU6URQ"],"uri":["http://zotero</vt:lpwstr>
  </property>
  <property fmtid="{D5CDD505-2E9C-101B-9397-08002B2CF9AE}" pid="621" name="ZOTERO_BREF_krQrhkh5Yq3y_2">
    <vt:lpwstr>.org/users/10578/items/CMGU6URQ"],"itemData":{"id":300,"type":"book","title":"On purposeful systems","publisher":"Aldine-Atherton","number-of-pages":"312","source":"Google Books","ISBN":"978-0-202-37000-2","author":[{"family":"Ackoff","given":"Russell L."</vt:lpwstr>
  </property>
  <property fmtid="{D5CDD505-2E9C-101B-9397-08002B2CF9AE}" pid="622" name="ZOTERO_BREF_krQrhkh5Yq3y_3">
    <vt:lpwstr>},{"family":"Emery","given":"Fred E."}],"issued":{"date-parts":[["1972"]]}}}],"schema":"https://github.com/citation-style-language/schema/raw/master/csl-citation.json"}</vt:lpwstr>
  </property>
  <property fmtid="{D5CDD505-2E9C-101B-9397-08002B2CF9AE}" pid="623" name="ZOTERO_BREF_l6zJMGhq93kt_1">
    <vt:lpwstr>ZOTERO_ITEM CSL_CITATION {"citationID":"61ChnmsP","properties":{"formattedCitation":"(Lerup, 1977, p. 18)","plainCitation":"(Lerup, 1977, p. 18)"},"citationItems":[{"id":16594,"uris":["http://zotero.org/users/10578/items/TTVVE9FT"],"uri":["http://zotero.o</vt:lpwstr>
  </property>
  <property fmtid="{D5CDD505-2E9C-101B-9397-08002B2CF9AE}" pid="624" name="ZOTERO_BREF_l6zJMGhq93kt_2">
    <vt:lpwstr>rg/users/10578/items/TTVVE9FT"],"itemData":{"id":16594,"type":"book","title":"Building the unfinished: architecture and human action","publisher":"Sage Publications","publisher-place":"Beverly Hills","number-of-pages":"180","source":"Google Books","event-</vt:lpwstr>
  </property>
  <property fmtid="{D5CDD505-2E9C-101B-9397-08002B2CF9AE}" pid="625" name="ZOTERO_BREF_l6zJMGhq93kt_3">
    <vt:lpwstr>place":"Beverly Hills","URL":"https://books.google.com/books?isbn=0803909225","ISBN":"978-0-8039-0922-9","note":"Google-Books-ID: VxdDAQAAIAAJ","shortTitle":"Building the unfinished","language":"en","author":[{"family":"Lerup","given":"Lars"}],"issued":{"</vt:lpwstr>
  </property>
  <property fmtid="{D5CDD505-2E9C-101B-9397-08002B2CF9AE}" pid="626" name="ZOTERO_BREF_l6zJMGhq93kt_4">
    <vt:lpwstr>date-parts":[["1977"]]}},"locator":"18","label":"page"}],"schema":"https://github.com/citation-style-language/schema/raw/master/csl-citation.json"}</vt:lpwstr>
  </property>
  <property fmtid="{D5CDD505-2E9C-101B-9397-08002B2CF9AE}" pid="627" name="ZOTERO_BREF_lcrPOSS6Zafx_1">
    <vt:lpwstr>ZOTERO_ITEM CSL_CITATION {"citationID":"ixbIbCVz","properties":{"formattedCitation":"{\\rtf (Ingold, 2007a, pp. 52\\uc0\\u8211{}57)}","plainCitation":"(Ingold, 2007a, pp. 52–57)"},"citationItems":[{"id":16369,"uris":["http://zotero.org/users/10578/items/4</vt:lpwstr>
  </property>
  <property fmtid="{D5CDD505-2E9C-101B-9397-08002B2CF9AE}" pid="628" name="ZOTERO_BREF_lcrPOSS6Zafx_2">
    <vt:lpwstr>JJ3TZ5R"],"uri":["http://zotero.org/users/10578/items/4JJ3TZ5R"],"itemData":{"id":16369,"type":"chapter","title":"Traces, threads and surfaces","container-title":"Lines: A Brief History","publisher":"Routledge","publisher-place":"Milton Park, UK","page":"</vt:lpwstr>
  </property>
  <property fmtid="{D5CDD505-2E9C-101B-9397-08002B2CF9AE}" pid="629" name="ZOTERO_BREF_lcrPOSS6Zafx_3">
    <vt:lpwstr>39-71","source":"Google Books","event-place":"Milton Park, UK","abstract":"What do walking, weaving, observing, storytelling, singing, drawing and writing have in common? The answer is that they all proceed along lines. In this extraordinary book Tim Ingo</vt:lpwstr>
  </property>
  <property fmtid="{D5CDD505-2E9C-101B-9397-08002B2CF9AE}" pid="630" name="ZOTERO_BREF_lcrPOSS6Zafx_4">
    <vt:lpwstr>ld imagines a world in which everyone and everything consists of interwoven or interconnected lines and lays the foundations for a completely new discipline: the anthropological archaeology of the line.Ingold's argument leads us through the music of Ancie</vt:lpwstr>
  </property>
  <property fmtid="{D5CDD505-2E9C-101B-9397-08002B2CF9AE}" pid="631" name="ZOTERO_BREF_lcrPOSS6Zafx_5">
    <vt:lpwstr>nt Greece and contemporary Japan, Siberian labyrinths and Roman roads, Chinese calligraphy and the printed alphabet, weaving a path between antiquity and the present.Setting out from a puzzle about the relation between speech and song, Ingold considers ho</vt:lpwstr>
  </property>
  <property fmtid="{D5CDD505-2E9C-101B-9397-08002B2CF9AE}" pid="632" name="ZOTERO_BREF_lcrPOSS6Zafx_6">
    <vt:lpwstr>w two kinds of line - threads and traces - can turn into one another as surfaces form or dissolve. He reveals how our perception of lines has changed over time, with modernity converting to point-to-point connectors before becoming straight, only to be ru</vt:lpwstr>
  </property>
  <property fmtid="{D5CDD505-2E9C-101B-9397-08002B2CF9AE}" pid="633" name="ZOTERO_BREF_lcrPOSS6Zafx_7">
    <vt:lpwstr>ptured and fragmented by the postmodern world. Drawing on a multitude of disciplines including archaeology, classical studies, art history, linguistics, psychology, musicology, philosophy and many others, and including more than seventy illustrations, thi</vt:lpwstr>
  </property>
  <property fmtid="{D5CDD505-2E9C-101B-9397-08002B2CF9AE}" pid="634" name="ZOTERO_BREF_lcrPOSS6Zafx_8">
    <vt:lpwstr>s book takes us on an exhilarating intellectual journey that will change the way we look at the world and how we go about in it.","ISBN":"978-0-203-96115-5","language":"en","author":[{"family":"Ingold","given":"Tim"}],"issued":{"date-parts":[["2007"]]}},"</vt:lpwstr>
  </property>
  <property fmtid="{D5CDD505-2E9C-101B-9397-08002B2CF9AE}" pid="635" name="ZOTERO_BREF_lcrPOSS6Zafx_9">
    <vt:lpwstr>locator":"52-57","label":"page"}],"schema":"https://github.com/citation-style-language/schema/raw/master/csl-citation.json"}</vt:lpwstr>
  </property>
  <property fmtid="{D5CDD505-2E9C-101B-9397-08002B2CF9AE}" pid="636" name="ZOTERO_BREF_lrgPnOAmC7NG_1">
    <vt:lpwstr>ZOTERO_ITEM CSL_CITATION {"citationID":"eMxwKTM9","properties":{"formattedCitation":"(Alexander, 1968, p. 605)","plainCitation":"(Alexander, 1968, p. 605)"},"citationItems":[{"id":1791,"uris":["http://zotero.org/users/10578/items/KPSGKP9D"],"uri":["http:/</vt:lpwstr>
  </property>
  <property fmtid="{D5CDD505-2E9C-101B-9397-08002B2CF9AE}" pid="637" name="ZOTERO_BREF_lrgPnOAmC7NG_2">
    <vt:lpwstr>/zotero.org/users/10578/items/KPSGKP9D"],"itemData":{"id":1791,"type":"article-journal","title":"Systems Generating Systems","container-title":"Architectural Digest","volume":"38","source":"Google Scholar","URL":"http://books.google.ca/books?id=Ib4yEJErR5</vt:lpwstr>
  </property>
  <property fmtid="{D5CDD505-2E9C-101B-9397-08002B2CF9AE}" pid="638" name="ZOTERO_BREF_lrgPnOAmC7NG_3">
    <vt:lpwstr>EC&amp;pg=PA58","author":[{"family":"Alexander","given":"Christopher"}],"issued":{"date-parts":[["1968"]]},"accessed":{"date-parts":[["2014",4,7]]}},"locator":"605","label":"page"}],"schema":"https://github.com/citation-style-language/schema/raw/master/csl-ci</vt:lpwstr>
  </property>
  <property fmtid="{D5CDD505-2E9C-101B-9397-08002B2CF9AE}" pid="639" name="ZOTERO_BREF_lrgPnOAmC7NG_4">
    <vt:lpwstr>tation.json"}</vt:lpwstr>
  </property>
  <property fmtid="{D5CDD505-2E9C-101B-9397-08002B2CF9AE}" pid="640" name="ZOTERO_BREF_mK6nQkuUhNcz_1">
    <vt:lpwstr>ZOTERO_ITEM CSL_CITATION {"citationID":"HWmrIL4R","properties":{"formattedCitation":"(Brand, 1999; Em, 2015)","plainCitation":"(Brand, 1999; Em, 2015)"},"citationItems":[{"id":691,"uris":["http://zotero.org/users/10578/items/I2G6RDBG"],"uri":["http://zote</vt:lpwstr>
  </property>
  <property fmtid="{D5CDD505-2E9C-101B-9397-08002B2CF9AE}" pid="641" name="ZOTERO_BREF_mK6nQkuUhNcz_2">
    <vt:lpwstr>ro.org/users/10578/items/I2G6RDBG"],"itemData":{"id":691,"type":"book","title":"The clock of the long now: time and responsibility","publisher":"Basic Books","number-of-pages":"190","source":"Google Books","ISBN":"978-0-465-04512-9","shortTitle":"The cloc</vt:lpwstr>
  </property>
  <property fmtid="{D5CDD505-2E9C-101B-9397-08002B2CF9AE}" pid="642" name="ZOTERO_BREF_mK6nQkuUhNcz_3">
    <vt:lpwstr>k of the long now","author":[{"family":"Brand","given":"Stewart"}],"issued":{"date-parts":[["1999"]]}},"label":"page"},{"id":16453,"uris":["http://zotero.org/users/10578/items/ZVM9UV8X"],"uri":["http://zotero.org/users/10578/items/ZVM9UV8X"],"itemData":{"</vt:lpwstr>
  </property>
  <property fmtid="{D5CDD505-2E9C-101B-9397-08002B2CF9AE}" pid="643" name="ZOTERO_BREF_mK6nQkuUhNcz_4">
    <vt:lpwstr>id":16453,"type":"post-weblog","title":"Pace Layer Thinkers: Stewart Brand and Paul Saffo's Conversation at The Interval, Recap and Full Audio","container-title":"Blog of the Long Now","abstract":"On January 27, 02015 Long Now Foundation founding Board me</vt:lpwstr>
  </property>
  <property fmtid="{D5CDD505-2E9C-101B-9397-08002B2CF9AE}" pid="644" name="ZOTERO_BREF_mK6nQkuUhNcz_5">
    <vt:lpwstr>mbers Stewart Brand and Paul Saffo spoke at Long Now's San Francisco venue The Interval about Pace Layers Thinking to a sold out crowd.","URL":"http://blog.longnow.org/02015/02/08/pace-layers-stewart-brand-paul-saffos-conversations-at-the-interval/","shor</vt:lpwstr>
  </property>
  <property fmtid="{D5CDD505-2E9C-101B-9397-08002B2CF9AE}" pid="645" name="ZOTERO_BREF_mK6nQkuUhNcz_6">
    <vt:lpwstr>tTitle":"Pace Layer Thinkers","author":[{"family":"Em","given":"Miki"}],"issued":{"date-parts":[["2015",2,8]]},"accessed":{"date-parts":[["2016",7,1]]}},"label":"page"}],"schema":"https://github.com/citation-style-language/schema/raw/master/csl-citation.j</vt:lpwstr>
  </property>
  <property fmtid="{D5CDD505-2E9C-101B-9397-08002B2CF9AE}" pid="646" name="ZOTERO_BREF_mK6nQkuUhNcz_7">
    <vt:lpwstr>son"}</vt:lpwstr>
  </property>
  <property fmtid="{D5CDD505-2E9C-101B-9397-08002B2CF9AE}" pid="647" name="ZOTERO_BREF_mTncWpUvAqB0_1">
    <vt:lpwstr>ZOTERO_ITEM CSL_CITATION {"citationID":"Ok6LPm3z","properties":{"formattedCitation":"{\\rtf (Alexander, 1979, pp. 241\\uc0\\u8211{}241)}","plainCitation":"(Alexander, 1979, pp. 241–241)"},"citationItems":[{"id":1391,"uris":["http://zotero.org/users/10578/</vt:lpwstr>
  </property>
  <property fmtid="{D5CDD505-2E9C-101B-9397-08002B2CF9AE}" pid="648" name="ZOTERO_BREF_mTncWpUvAqB0_2">
    <vt:lpwstr>items/TE8TRH3R"],"uri":["http://zotero.org/users/10578/items/TE8TRH3R"],"itemData":{"id":1391,"type":"book","title":"The Timeless Way of Building","publisher":"Oxford University Press","number-of-pages":"586","source":"Google Books","abstract":"The theory</vt:lpwstr>
  </property>
  <property fmtid="{D5CDD505-2E9C-101B-9397-08002B2CF9AE}" pid="649" name="ZOTERO_BREF_mTncWpUvAqB0_3">
    <vt:lpwstr> of architecture implicit in our world today, Christopher Alexander believes, is bankrupt. More and more people are aware that something is deeply wrong. Yet the power of present-day ideas is so great that many feel uncomfortable, even afraid, to say open</vt:lpwstr>
  </property>
  <property fmtid="{D5CDD505-2E9C-101B-9397-08002B2CF9AE}" pid="650" name="ZOTERO_BREF_mTncWpUvAqB0_4">
    <vt:lpwstr>ly that they dislike what is happening, because they are afraid to seem foolish, afraid perhaps that they will be laughed at.  Now, at last, there is a coherent theory which describes in modern terms an architecture as ancient as human society itself.  Th</vt:lpwstr>
  </property>
  <property fmtid="{D5CDD505-2E9C-101B-9397-08002B2CF9AE}" pid="651" name="ZOTERO_BREF_mTncWpUvAqB0_5">
    <vt:lpwstr>e Timeless Way of Buildingis the introductory volume in the Center for Environmental Structure series, Christopher Alexander presents in it a new theory of architecture, building, and planning which has at its core that age-old process by which the people</vt:lpwstr>
  </property>
  <property fmtid="{D5CDD505-2E9C-101B-9397-08002B2CF9AE}" pid="652" name="ZOTERO_BREF_mTncWpUvAqB0_6">
    <vt:lpwstr> of a society have always pulled the order of their world from their own being.  Alexander writes, \"There is one timeless way of building. It is thousands of years old, and the same today as it has always been. The great traditional buildings of the past</vt:lpwstr>
  </property>
  <property fmtid="{D5CDD505-2E9C-101B-9397-08002B2CF9AE}" pid="653" name="ZOTERO_BREF_mTncWpUvAqB0_7">
    <vt:lpwstr>, the villages and tents and temples in which man feels at home, have always been made by people who were very close to the center of this way. And as you will see, this way will lead anyone who looks for it to buildings which are themselves as ancient in</vt:lpwstr>
  </property>
  <property fmtid="{D5CDD505-2E9C-101B-9397-08002B2CF9AE}" pid="654" name="ZOTERO_BREF_mTncWpUvAqB0_8">
    <vt:lpwstr> their form as the trees and hills, and as our faces are.\"","URL":"http://books.google.ca/books?id=H6CE9hlbO8sC","ISBN":"978-0-19-502402-9","language":"en","author":[{"family":"Alexander","given":"Christopher"}],"issued":{"date-parts":[["1979"]]}},"locat</vt:lpwstr>
  </property>
  <property fmtid="{D5CDD505-2E9C-101B-9397-08002B2CF9AE}" pid="655" name="ZOTERO_BREF_mTncWpUvAqB0_9">
    <vt:lpwstr>or":"241-241","label":"page"}],"schema":"https://github.com/citation-style-language/schema/raw/master/csl-citation.json"}</vt:lpwstr>
  </property>
  <property fmtid="{D5CDD505-2E9C-101B-9397-08002B2CF9AE}" pid="656" name="ZOTERO_BREF_mobPBdXuX6nZ_1">
    <vt:lpwstr>ZOTERO_ITEM CSL_CITATION {"citationID":"WcLbvpD7","properties":{"formattedCitation":"(Normann &amp; Ramirez, 1994, p. 54)","plainCitation":"(Normann &amp; Ramirez, 1994, p. 54)"},"citationItems":[{"id":149,"uris":["http://zotero.org/users/10578/items/8PXRS7CD"],"</vt:lpwstr>
  </property>
  <property fmtid="{D5CDD505-2E9C-101B-9397-08002B2CF9AE}" pid="657" name="ZOTERO_BREF_mobPBdXuX6nZ_2">
    <vt:lpwstr>uri":["http://zotero.org/users/10578/items/8PXRS7CD"],"itemData":{"id":149,"type":"book","title":"From value chain to value constellation: designing interactive strategy","publisher":"Wiley","publisher-place":"Chichester, England","source":"Google Books",</vt:lpwstr>
  </property>
  <property fmtid="{D5CDD505-2E9C-101B-9397-08002B2CF9AE}" pid="658" name="ZOTERO_BREF_mobPBdXuX6nZ_3">
    <vt:lpwstr>"event-place":"Chichester, England","shortTitle":"From value chain to value constellation","author":[{"family":"Normann","given":"Richard"},{"family":"Ramirez","given":"Rafael"}],"issued":{"date-parts":[["1994"]]}},"locator":"54","label":"page"}],"schema"</vt:lpwstr>
  </property>
  <property fmtid="{D5CDD505-2E9C-101B-9397-08002B2CF9AE}" pid="659" name="ZOTERO_BREF_mobPBdXuX6nZ_4">
    <vt:lpwstr>:"https://github.com/citation-style-language/schema/raw/master/csl-citation.json"}</vt:lpwstr>
  </property>
  <property fmtid="{D5CDD505-2E9C-101B-9397-08002B2CF9AE}" pid="660" name="ZOTERO_BREF_n4MLXpODQUGa_1">
    <vt:lpwstr>ZOTERO_ITEM CSL_CITATION {"citationID":"6ODagBLM","properties":{"formattedCitation":"(Alexander, 1966, p. 48)","plainCitation":"(Alexander, 1966, p. 48)"},"citationItems":[{"id":1810,"uris":["http://zotero.org/users/10578/items/XFS9ZWVV"],"uri":["http://z</vt:lpwstr>
  </property>
  <property fmtid="{D5CDD505-2E9C-101B-9397-08002B2CF9AE}" pid="661" name="ZOTERO_BREF_n4MLXpODQUGa_2">
    <vt:lpwstr>otero.org/users/10578/items/XFS9ZWVV"],"itemData":{"id":1810,"type":"article-journal","title":"A City is Not a Tree","container-title":"Design","page":"46-55","volume":"206","URL":"http://vads.ac.uk/diad/article.php?year=1966&amp;title=206&amp;article=d.206.27","</vt:lpwstr>
  </property>
  <property fmtid="{D5CDD505-2E9C-101B-9397-08002B2CF9AE}" pid="662" name="ZOTERO_BREF_n4MLXpODQUGa_3">
    <vt:lpwstr>author":[{"family":"Alexander","given":"Christopher"}],"issued":{"date-parts":[["1966"]]}},"locator":"48","label":"page"}],"schema":"https://github.com/citation-style-language/schema/raw/master/csl-citation.json"}</vt:lpwstr>
  </property>
  <property fmtid="{D5CDD505-2E9C-101B-9397-08002B2CF9AE}" pid="663" name="ZOTERO_BREF_nHsEeLuSHtaS_1">
    <vt:lpwstr>ZOTERO_ITEM CSL_CITATION {"citationID":"3dXLVNzx","properties":{"formattedCitation":"(Gabriel, 1996, p. 34)","plainCitation":"(Gabriel, 1996, p. 34)"},"citationItems":[{"id":16415,"uris":["http://zotero.org/users/10578/items/IQSS9M6I"],"uri":["http://zote</vt:lpwstr>
  </property>
  <property fmtid="{D5CDD505-2E9C-101B-9397-08002B2CF9AE}" pid="664" name="ZOTERO_BREF_nHsEeLuSHtaS_2">
    <vt:lpwstr>ro.org/users/10578/items/IQSS9M6I"],"itemData":{"id":16415,"type":"chapter","title":"The Quality Without a Name","container-title":"Patterns of software","publisher":"Oxford University Press","publisher-place":"New York","page":"33-44","source":"Google Sc</vt:lpwstr>
  </property>
  <property fmtid="{D5CDD505-2E9C-101B-9397-08002B2CF9AE}" pid="665" name="ZOTERO_BREF_nHsEeLuSHtaS_3">
    <vt:lpwstr>holar","event-place":"New York","URL":"http://dreamsongs.net/Files/PatternsOfSoftware.pdf","author":[{"family":"Gabriel","given":"Richard P."}],"issued":{"date-parts":[["1996"]]},"accessed":{"date-parts":[["2016",6,14]]}},"locator":"34","label":"page"}],"</vt:lpwstr>
  </property>
  <property fmtid="{D5CDD505-2E9C-101B-9397-08002B2CF9AE}" pid="666" name="ZOTERO_BREF_nHsEeLuSHtaS_4">
    <vt:lpwstr>schema":"https://github.com/citation-style-language/schema/raw/master/csl-citation.json"}</vt:lpwstr>
  </property>
  <property fmtid="{D5CDD505-2E9C-101B-9397-08002B2CF9AE}" pid="667" name="ZOTERO_BREF_nQiX4AbfXObh_1">
    <vt:lpwstr>ZOTERO_ITEM CSL_CITATION {"citationID":"I1UeYvAr","properties":{"formattedCitation":"(Seamon, 1998, paras. 2, 3, 15)","plainCitation":"(Seamon, 1998, paras. 2, 3, 15)"},"citationItems":[{"id":16619,"uris":["http://zotero.org/users/10578/items/4684J3DP"],"</vt:lpwstr>
  </property>
  <property fmtid="{D5CDD505-2E9C-101B-9397-08002B2CF9AE}" pid="668" name="ZOTERO_BREF_nQiX4AbfXObh_2">
    <vt:lpwstr>uri":["http://zotero.org/users/10578/items/4684J3DP"],"itemData":{"id":16619,"type":"article-journal","title":"Concretizing Heidegger´s Notion of Dwelling: The Contributions of Thomas Thiis-Evensen and Christopher Alexander","container-title":"Internation</vt:lpwstr>
  </property>
  <property fmtid="{D5CDD505-2E9C-101B-9397-08002B2CF9AE}" pid="669" name="ZOTERO_BREF_nQiX4AbfXObh_3">
    <vt:lpwstr>al Journal of Architectural Theory","volume":"3","issue":"2","URL":"http://www.cloud-cuckoo.net/openarchive/wolke/eng/Subjects/982/Seamon/seamon_t.html","ISSN":"1434 - 0984","author":[{"family":"Seamon","given":"David"}],"issued":{"date-parts":[["1998"]]}</vt:lpwstr>
  </property>
  <property fmtid="{D5CDD505-2E9C-101B-9397-08002B2CF9AE}" pid="670" name="ZOTERO_BREF_nQiX4AbfXObh_4">
    <vt:lpwstr>},"locator":"2, 3, 15","label":"paragraph"}],"schema":"https://github.com/citation-style-language/schema/raw/master/csl-citation.json"}</vt:lpwstr>
  </property>
  <property fmtid="{D5CDD505-2E9C-101B-9397-08002B2CF9AE}" pid="671" name="ZOTERO_BREF_o81lZX0edwp2_1">
    <vt:lpwstr>ZOTERO_ITEM CSL_CITATION {"citationID":"Ala9HsUk","properties":{"formattedCitation":"(Ambler &amp; Lines, 2012)","plainCitation":"(Ambler &amp; Lines, 2012)"},"citationItems":[{"id":1293,"uris":["http://zotero.org/users/10578/items/EB6W9SGR"],"uri":["http://zoter</vt:lpwstr>
  </property>
  <property fmtid="{D5CDD505-2E9C-101B-9397-08002B2CF9AE}" pid="672" name="ZOTERO_BREF_o81lZX0edwp2_2">
    <vt:lpwstr>o.org/users/10578/items/EB6W9SGR"],"itemData":{"id":1293,"type":"book","title":"Disciplined Agile Delivery: A Practitioner's Guide to Agile Software Delivery in the Enterprise","publisher":"IBM Press","source":"Google Scholar","URL":"http://books.google.c</vt:lpwstr>
  </property>
  <property fmtid="{D5CDD505-2E9C-101B-9397-08002B2CF9AE}" pid="673" name="ZOTERO_BREF_o81lZX0edwp2_3">
    <vt:lpwstr>a/books?hl=en&amp;id=CwvBEKsCY2gC","shortTitle":"Disciplined Agile Delivery","author":[{"family":"Ambler","given":"Scott W."},{"family":"Lines","given":"Mark"}],"issued":{"date-parts":[["2012"]]},"accessed":{"date-parts":[["2013",3,9]]}}}],"schema":"https://g</vt:lpwstr>
  </property>
  <property fmtid="{D5CDD505-2E9C-101B-9397-08002B2CF9AE}" pid="674" name="ZOTERO_BREF_o81lZX0edwp2_4">
    <vt:lpwstr>ithub.com/citation-style-language/schema/raw/master/csl-citation.json"}</vt:lpwstr>
  </property>
  <property fmtid="{D5CDD505-2E9C-101B-9397-08002B2CF9AE}" pid="675" name="ZOTERO_BREF_oDaYoBPZvV9c_1">
    <vt:lpwstr>ZOTERO_ITEM CSL_CITATION {"citationID":"FPVmGCA0","properties":{"formattedCitation":"(Rittel, 1980, p. 12)","plainCitation":"(Rittel, 1980, p. 12)"},"citationItems":[{"id":16592,"uris":["http://zotero.org/users/10578/items/8DSKMR4B"],"uri":["http://zotero</vt:lpwstr>
  </property>
  <property fmtid="{D5CDD505-2E9C-101B-9397-08002B2CF9AE}" pid="676" name="ZOTERO_BREF_oDaYoBPZvV9c_2">
    <vt:lpwstr>.org/users/10578/items/8DSKMR4B"],"itemData":{"id":16592,"type":"book","title":"APIS, a Concept for an Argumentative Planning Information System","publisher":"Institute of Urban &amp; Regional Development, University of California, Berkeley","volume":"324","s</vt:lpwstr>
  </property>
  <property fmtid="{D5CDD505-2E9C-101B-9397-08002B2CF9AE}" pid="677" name="ZOTERO_BREF_oDaYoBPZvV9c_3">
    <vt:lpwstr>ource":"Google Scholar","author":[{"family":"Rittel","given":"Horst WJ"}],"issued":{"date-parts":[["1980"]]}},"locator":"12","label":"page"}],"schema":"https://github.com/citation-style-language/schema/raw/master/csl-citation.json"}</vt:lpwstr>
  </property>
  <property fmtid="{D5CDD505-2E9C-101B-9397-08002B2CF9AE}" pid="678" name="ZOTERO_BREF_obHdLxJFge9d11_1">
    <vt:lpwstr>ZOTERO_ITEM CSL_CITATION {"citationID":"kB0BiCMC","properties":{"formattedCitation":"(Leith, 1970)","plainCitation":"(Leith, 1970)"},"citationItems":[{"id":16568,"uris":["http://zotero.org/users/10578/items/XHKPFXPC"],"uri":["http://zotero.org/users/10578</vt:lpwstr>
  </property>
  <property fmtid="{D5CDD505-2E9C-101B-9397-08002B2CF9AE}" pid="679" name="ZOTERO_BREF_obHdLxJFge9d11_2">
    <vt:lpwstr>/items/XHKPFXPC"],"itemData":{"id":16568,"type":"article-newspaper","title":"... meanwhile, at Hunts Point","container-title":"Eugene Register-Guard","page":"6A","URL":"https://news.google.com/newspapers?nid=1310&amp;dat=19701108&amp;id=I-dVAAAAIBAJ&amp;sjid=IeEDAAAA</vt:lpwstr>
  </property>
  <property fmtid="{D5CDD505-2E9C-101B-9397-08002B2CF9AE}" pid="680" name="ZOTERO_BREF_obHdLxJFge9d11_3">
    <vt:lpwstr>IBAJ&amp;pg=3517,1678966","author":[{"family":"Leith","given":"Henrietta"}],"issued":{"date-parts":[["1970",11,8]]},"accessed":{"date-parts":[["2016",8,27]]}}}],"schema":"https://github.com/citation-style-language/schema/raw/master/csl-citation.json"}</vt:lpwstr>
  </property>
  <property fmtid="{D5CDD505-2E9C-101B-9397-08002B2CF9AE}" pid="681" name="ZOTERO_BREF_obHdLxJFge9d_1">
    <vt:lpwstr>ZOTERO_ITEM CSL_CITATION {"citationID":"kB0BiCMC","properties":{"formattedCitation":"(Leith, 1970)","plainCitation":"(Leith, 1970)"},"citationItems":[{"id":16568,"uris":["http://zotero.org/users/10578/items/XHKPFXPC"],"uri":["http://zotero.org/users/10578</vt:lpwstr>
  </property>
  <property fmtid="{D5CDD505-2E9C-101B-9397-08002B2CF9AE}" pid="682" name="ZOTERO_BREF_obHdLxJFge9d_2">
    <vt:lpwstr>/items/XHKPFXPC"],"itemData":{"id":16568,"type":"article-newspaper","title":"... meanwhile, at Hunts Point","container-title":"Eugene Register-Guard","page":"6A","URL":"https://news.google.com/newspapers?nid=1310&amp;dat=19701108&amp;id=I-dVAAAAIBAJ&amp;sjid=IeEDAAAA</vt:lpwstr>
  </property>
  <property fmtid="{D5CDD505-2E9C-101B-9397-08002B2CF9AE}" pid="683" name="ZOTERO_BREF_obHdLxJFge9d_3">
    <vt:lpwstr>IBAJ&amp;pg=3517,1678966","author":[{"family":"Leith","given":"Henrietta"}],"issued":{"date-parts":[["1970",11,8]]},"accessed":{"date-parts":[["2016",8,27]]}}}],"schema":"https://github.com/citation-style-language/schema/raw/master/csl-citation.json"}</vt:lpwstr>
  </property>
  <property fmtid="{D5CDD505-2E9C-101B-9397-08002B2CF9AE}" pid="684" name="ZOTERO_BREF_otBS6fqpFr3z_1">
    <vt:lpwstr>ZOTERO_ITEM CSL_CITATION {"citationID":"QLzdI3oJ","properties":{"formattedCitation":"(Scrum Alliance, 2015, p. 2)","plainCitation":"(Scrum Alliance, 2015, p. 2)"},"citationItems":[{"id":16608,"uris":["http://zotero.org/users/10578/items/RVRA8UP7"],"uri":[</vt:lpwstr>
  </property>
  <property fmtid="{D5CDD505-2E9C-101B-9397-08002B2CF9AE}" pid="685" name="ZOTERO_BREF_otBS6fqpFr3z_2">
    <vt:lpwstr>"http://zotero.org/users/10578/items/RVRA8UP7"],"itemData":{"id":16608,"type":"report","title":"The 2015 State of Scrum Report","URL":"https://www.scrumalliance.org/scrum/media/scrumalliancemedia/files%20and%20pdfs/state%20of%20scrum/scrum-alliance-state-</vt:lpwstr>
  </property>
  <property fmtid="{D5CDD505-2E9C-101B-9397-08002B2CF9AE}" pid="686" name="ZOTERO_BREF_otBS6fqpFr3z_3">
    <vt:lpwstr>of-scrum-2015.pdf","author":[{"family":"Scrum Alliance","given":""}],"issued":{"date-parts":[["2015"]]}},"locator":"2","label":"page"}],"schema":"https://github.com/citation-style-language/schema/raw/master/csl-citation.json"}</vt:lpwstr>
  </property>
  <property fmtid="{D5CDD505-2E9C-101B-9397-08002B2CF9AE}" pid="687" name="ZOTERO_BREF_peCXSv4KMfSd_1">
    <vt:lpwstr>ZOTERO_ITEM CSL_CITATION {"citationID":"qKpV3B9y","properties":{"formattedCitation":"{\\rtf (Ingold, 2011c, pp. 77\\uc0\\u8211{}86)}","plainCitation":"(Ingold, 2011c, pp. 77–86)"},"citationItems":[{"id":16362,"uris":["http://zotero.org/users/10578/items/M</vt:lpwstr>
  </property>
  <property fmtid="{D5CDD505-2E9C-101B-9397-08002B2CF9AE}" pid="688" name="ZOTERO_BREF_peCXSv4KMfSd_2">
    <vt:lpwstr>MXQGX5H"],"uri":["http://zotero.org/users/10578/items/MMXQGX5H"],"itemData":{"id":16362,"type":"chapter","title":"Point, line, counterpoint: From environment to fluid space","container-title":"Being Alive: Essays on Movement, Knowledge and Description","p</vt:lpwstr>
  </property>
  <property fmtid="{D5CDD505-2E9C-101B-9397-08002B2CF9AE}" pid="689" name="ZOTERO_BREF_peCXSv4KMfSd_3">
    <vt:lpwstr>ublisher":"Routledge","page":"76-88","source":"Google Books","abstract":"Anthropology is a disciplined inquiry into the conditions and potentials of human life. Generations of theorists, however, have expunged life from their accounts, treating it as the </vt:lpwstr>
  </property>
  <property fmtid="{D5CDD505-2E9C-101B-9397-08002B2CF9AE}" pid="690" name="ZOTERO_BREF_peCXSv4KMfSd_4">
    <vt:lpwstr>mere output of patterns, codes, structures or systems variously defined as genetic or cultural, natural or social. Building on his classic work The Perception of the Environment, Tim Ingold sets out to restore life to where it should belong, at the heart </vt:lpwstr>
  </property>
  <property fmtid="{D5CDD505-2E9C-101B-9397-08002B2CF9AE}" pid="691" name="ZOTERO_BREF_peCXSv4KMfSd_5">
    <vt:lpwstr>of anthropological concern.  Being Alive ranges over such themes as the vitality of materials, what it means to make things, the perception and formation of the ground, the mingling of earth and sky in the weather-world, the experiences of light, sound an</vt:lpwstr>
  </property>
  <property fmtid="{D5CDD505-2E9C-101B-9397-08002B2CF9AE}" pid="692" name="ZOTERO_BREF_peCXSv4KMfSd_6">
    <vt:lpwstr>d feeling, the role of storytelling in the integration of knowledge, and the potential of drawing to unite observation and description.  Our humanity, Ingold argues, does not come ready-made but is continually fashioned in our movements along ways of life</vt:lpwstr>
  </property>
  <property fmtid="{D5CDD505-2E9C-101B-9397-08002B2CF9AE}" pid="693" name="ZOTERO_BREF_peCXSv4KMfSd_7">
    <vt:lpwstr>. Starting from the idea of life as a process of wayfaring, Ingold presents a radically new understanding of movement, knowledge and description as dimensions not just of being in the world, but of being alive to what is going on there.","ISBN":"978-1-136</vt:lpwstr>
  </property>
  <property fmtid="{D5CDD505-2E9C-101B-9397-08002B2CF9AE}" pid="694" name="ZOTERO_BREF_peCXSv4KMfSd_8">
    <vt:lpwstr>-73543-1","language":"en","author":[{"family":"Ingold","given":"Tim"}],"issued":{"date-parts":[["2011"]]}},"locator":"77-86","label":"page"}],"schema":"https://github.com/citation-style-language/schema/raw/master/csl-citation.json"}</vt:lpwstr>
  </property>
  <property fmtid="{D5CDD505-2E9C-101B-9397-08002B2CF9AE}" pid="695" name="ZOTERO_BREF_qUTIpilxIehF_1">
    <vt:lpwstr>ZOTERO_ITEM CSL_CITATION {"citationID":"GBwhpJVC","properties":{"formattedCitation":"(Mehaffy, 2010, p. 24)","plainCitation":"(Mehaffy, 2010, p. 24)"},"citationItems":[{"id":16400,"uris":["http://zotero.org/users/10578/items/JQZ8NXDX"],"uri":["http://zote</vt:lpwstr>
  </property>
  <property fmtid="{D5CDD505-2E9C-101B-9397-08002B2CF9AE}" pid="696" name="ZOTERO_BREF_qUTIpilxIehF_2">
    <vt:lpwstr>ro.org/users/10578/items/JQZ8NXDX"],"itemData":{"id":16400,"type":"article-journal","title":"Quality of Life by Design: The Science of a Structuralist Revolution","container-title":"Athens Dialogues","source":"Google Scholar","URL":"http://athensdialogues</vt:lpwstr>
  </property>
  <property fmtid="{D5CDD505-2E9C-101B-9397-08002B2CF9AE}" pid="697" name="ZOTERO_BREF_qUTIpilxIehF_3">
    <vt:lpwstr>.chs.harvard.edu/cgi-bin/WebObjects/athensdialogues.woa/wa/dist?dis=47","shortTitle":"Quality of Life by Design","author":[{"family":"Mehaffy","given":"Michael"}],"issued":{"date-parts":[["2010"]]},"accessed":{"date-parts":[["2016",6,12]]}},"locator":"24"</vt:lpwstr>
  </property>
  <property fmtid="{D5CDD505-2E9C-101B-9397-08002B2CF9AE}" pid="698" name="ZOTERO_BREF_qUTIpilxIehF_4">
    <vt:lpwstr>,"label":"page"}],"schema":"https://github.com/citation-style-language/schema/raw/master/csl-citation.json"}</vt:lpwstr>
  </property>
  <property fmtid="{D5CDD505-2E9C-101B-9397-08002B2CF9AE}" pid="699" name="ZOTERO_BREF_rH28lM9YBaik_1">
    <vt:lpwstr/>
  </property>
  <property fmtid="{D5CDD505-2E9C-101B-9397-08002B2CF9AE}" pid="700" name="ZOTERO_BREF_rnF7JEHV0DIi_1">
    <vt:lpwstr>ZOTERO_ITEM CSL_CITATION {"citationID":"y7XjT6rN","properties":{"formattedCitation":"{\\rtf (Ingold, 2006, pp. 26\\uc0\\u8211{}27)}","plainCitation":"(Ingold, 2006, pp. 26–27)"},"citationItems":[{"id":16327,"uris":["http://zotero.org/users/10578/items/QBU</vt:lpwstr>
  </property>
  <property fmtid="{D5CDD505-2E9C-101B-9397-08002B2CF9AE}" pid="701" name="ZOTERO_BREF_rnF7JEHV0DIi_2">
    <vt:lpwstr>DH2QZ"],"uri":["http://zotero.org/users/10578/items/QBUDH2QZ"],"itemData":{"id":16327,"type":"article-journal","title":"Up, across and along","container-title":"Place and Location: Studies in Environmental Aesthetics and Semiotics","page":"21–36","volume"</vt:lpwstr>
  </property>
  <property fmtid="{D5CDD505-2E9C-101B-9397-08002B2CF9AE}" pid="702" name="ZOTERO_BREF_rnF7JEHV0DIi_3">
    <vt:lpwstr>:"5","source":"Google Scholar","URL":"http://www.eki.ee/km/place/koht_5.htm","ISSN":"1736-2326","author":[{"family":"Ingold","given":"Tim"}],"issued":{"date-parts":[["2006"]]},"accessed":{"date-parts":[["2016",5,4]]}},"locator":"26-27","label":"page"}],"s</vt:lpwstr>
  </property>
  <property fmtid="{D5CDD505-2E9C-101B-9397-08002B2CF9AE}" pid="703" name="ZOTERO_BREF_rnF7JEHV0DIi_4">
    <vt:lpwstr>chema":"https://github.com/citation-style-language/schema/raw/master/csl-citation.json"}</vt:lpwstr>
  </property>
  <property fmtid="{D5CDD505-2E9C-101B-9397-08002B2CF9AE}" pid="704" name="ZOTERO_BREF_sETXkx5WUrPu_1">
    <vt:lpwstr>ZOTERO_ITEM CSL_CITATION {"citationID":"OIUXNZvl","properties":{"formattedCitation":"(Thompson, 1942, p. 11)","plainCitation":"(Thompson, 1942, p. 11)"},"citationItems":[{"id":16582,"uris":["http://zotero.org/users/10578/items/EDJW46GJ"],"uri":["http://zo</vt:lpwstr>
  </property>
  <property fmtid="{D5CDD505-2E9C-101B-9397-08002B2CF9AE}" pid="705" name="ZOTERO_BREF_sETXkx5WUrPu_2">
    <vt:lpwstr>tero.org/users/10578/items/EDJW46GJ"],"itemData":{"id":16582,"type":"book","title":"On growth and form","publisher":"Macmillan","publisher-place":"New York","number-of-pages":"490","source":"Google Books","event-place":"New York","URL":"https://books.goog</vt:lpwstr>
  </property>
  <property fmtid="{D5CDD505-2E9C-101B-9397-08002B2CF9AE}" pid="706" name="ZOTERO_BREF_sETXkx5WUrPu_3">
    <vt:lpwstr>le.com/books?id=oi0FAQAAIAAJ","note":"Google-Books-ID: oi0FAQAAIAAJ","language":"en","author":[{"family":"Thompson","given":"D'Arcy Wentworth"}],"issued":{"date-parts":[["1942"]]}},"locator":"11","label":"page"}],"schema":"https://github.com/citation-styl</vt:lpwstr>
  </property>
  <property fmtid="{D5CDD505-2E9C-101B-9397-08002B2CF9AE}" pid="707" name="ZOTERO_BREF_sETXkx5WUrPu_4">
    <vt:lpwstr>e-language/schema/raw/master/csl-citation.json"}</vt:lpwstr>
  </property>
  <property fmtid="{D5CDD505-2E9C-101B-9397-08002B2CF9AE}" pid="708" name="ZOTERO_BREF_sVLd8lcf2jjm_1">
    <vt:lpwstr>ZOTERO_ITEM CSL_CITATION {"citationID":"pC2P5naw","properties":{"formattedCitation":"(Ambler, 2011)","plainCitation":"(Ambler, 2011)"},"citationItems":[{"id":1222,"uris":["http://zotero.org/users/10578/items/5EHCA28P"],"uri":["http://zotero.org/users/1057</vt:lpwstr>
  </property>
  <property fmtid="{D5CDD505-2E9C-101B-9397-08002B2CF9AE}" pid="709" name="ZOTERO_BREF_sVLd8lcf2jjm_2">
    <vt:lpwstr>8/items/5EHCA28P"],"itemData":{"id":1222,"type":"article-magazine","title":"Agile at 10: What We Believe","container-title":"Dr. Dobb's Journal","URL":"http://www.drdobbs.com/architecture-and-design/agile-at-10-what-we-believe-scott-ambler/229301128","aut</vt:lpwstr>
  </property>
  <property fmtid="{D5CDD505-2E9C-101B-9397-08002B2CF9AE}" pid="710" name="ZOTERO_BREF_sVLd8lcf2jjm_3">
    <vt:lpwstr>hor":[{"family":"Ambler","given":"Scott W."}],"issued":{"date-parts":[["2011",3,30]]},"accessed":{"date-parts":[["2014",1,11]]}}}],"schema":"https://github.com/citation-style-language/schema/raw/master/csl-citation.json"}</vt:lpwstr>
  </property>
  <property fmtid="{D5CDD505-2E9C-101B-9397-08002B2CF9AE}" pid="711" name="ZOTERO_BREF_sZJ3n3NvbaDi_1">
    <vt:lpwstr>ZOTERO_ITEM CSL_CITATION {"citationID":"IGLJFofL","properties":{"formattedCitation":"(Finley, 2012)","plainCitation":"(Finley, 2012)"},"citationItems":[{"id":1365,"uris":["http://zotero.org/users/10578/items/NW54GT5M"],"uri":["http://zotero.org/users/1057</vt:lpwstr>
  </property>
  <property fmtid="{D5CDD505-2E9C-101B-9397-08002B2CF9AE}" pid="712" name="ZOTERO_BREF_sZJ3n3NvbaDi_2">
    <vt:lpwstr>8/items/NW54GT5M"],"itemData":{"id":1365,"type":"post-weblog","title":"Wiki Inventor Sticks a Fork in His Baby | Wired Enterprise | Wired.com","container-title":"Wired Enterprise","abstract":"Ward Cunningham, the creator of the wiki, is proud of his inven</vt:lpwstr>
  </property>
  <property fmtid="{D5CDD505-2E9C-101B-9397-08002B2CF9AE}" pid="713" name="ZOTERO_BREF_sZJ3n3NvbaDi_3">
    <vt:lpwstr>tion. But there is one thing he regrets. The central idea of a wiki -- whether it's driving Wikipedia or C2 -- is that anyone can add or edit a page, but those pages all live on servers that someone else owns and controls. Cunningham now believes that no </vt:lpwstr>
  </property>
  <property fmtid="{D5CDD505-2E9C-101B-9397-08002B2CF9AE}" pid="714" name="ZOTERO_BREF_sZJ3n3NvbaDi_4">
    <vt:lpwstr>one should have that sort of central control, so he has built something called the federated wiki.","URL":"http://www.wired.com/wiredenterprise/2012/07/wiki-inventor/","author":[{"family":"Finley","given":"Klint"}],"issued":{"date-parts":[["2012"]],"seaso</vt:lpwstr>
  </property>
  <property fmtid="{D5CDD505-2E9C-101B-9397-08002B2CF9AE}" pid="715" name="ZOTERO_BREF_sZJ3n3NvbaDi_5">
    <vt:lpwstr>n":"04"},"accessed":{"date-parts":[["2012",12,17]]}}}],"schema":"https://github.com/citation-style-language/schema/raw/master/csl-citation.json"}</vt:lpwstr>
  </property>
  <property fmtid="{D5CDD505-2E9C-101B-9397-08002B2CF9AE}" pid="716" name="ZOTERO_BREF_scvISLMUyjOu_1">
    <vt:lpwstr>ZOTERO_ITEM CSL_CITATION {"citationID":"mHvCrYGJ","properties":{"formattedCitation":"(Alexander, Ishikawa, &amp; Silverstein, 1977, p. xi)","plainCitation":"(Alexander, Ishikawa, &amp; Silverstein, 1977, p. xi)"},"citationItems":[{"id":77,"uris":["http://zotero.o</vt:lpwstr>
  </property>
  <property fmtid="{D5CDD505-2E9C-101B-9397-08002B2CF9AE}" pid="717" name="ZOTERO_BREF_scvISLMUyjOu_2">
    <vt:lpwstr>rg/users/10578/items/TXA5TXXW"],"uri":["http://zotero.org/users/10578/items/TXA5TXXW"],"itemData":{"id":77,"type":"book","title":"A Pattern Language: Towns, Building, Construction","publisher":"Oxford University Press US","publisher-place":"New York","sou</vt:lpwstr>
  </property>
  <property fmtid="{D5CDD505-2E9C-101B-9397-08002B2CF9AE}" pid="718" name="ZOTERO_BREF_scvISLMUyjOu_3">
    <vt:lpwstr>rce":"Google Books","event-place":"New York","URL":"http://books.google.ca/books?id=hwAHmktpk5IC","ISBN":"0-19-501919-9","author":[{"family":"Alexander","given":"Christopher"},{"family":"Ishikawa","given":"Sara"},{"family":"Silverstein","given":"Murray"}]</vt:lpwstr>
  </property>
  <property fmtid="{D5CDD505-2E9C-101B-9397-08002B2CF9AE}" pid="719" name="ZOTERO_BREF_scvISLMUyjOu_4">
    <vt:lpwstr>,"issued":{"date-parts":[["1977"]]}},"locator":"xi","label":"page"}],"schema":"https://github.com/citation-style-language/schema/raw/master/csl-citation.json"}</vt:lpwstr>
  </property>
  <property fmtid="{D5CDD505-2E9C-101B-9397-08002B2CF9AE}" pid="720" name="ZOTERO_BREF_sepcbfto26yS_1">
    <vt:lpwstr>ZOTERO_ITEM CSL_CITATION {"citationID":"CYykCwxs","properties":{"formattedCitation":"(Haeckel, 1999)","plainCitation":"(Haeckel, 1999)"},"citationItems":[{"id":1724,"uris":["http://zotero.org/users/10578/items/BEK2Q27G"],"uri":["http://zotero.org/users/10</vt:lpwstr>
  </property>
  <property fmtid="{D5CDD505-2E9C-101B-9397-08002B2CF9AE}" pid="721" name="ZOTERO_BREF_sepcbfto26yS_2">
    <vt:lpwstr>578/items/BEK2Q27G"],"itemData":{"id":1724,"type":"book","title":"Adaptive Enterprise: Creating and Leading Sense-and-Respond Organizations","publisher":"Harvard Business School Press","publisher-place":"Boston, MA","source":"toroprod.library.utoronto.ca </vt:lpwstr>
  </property>
  <property fmtid="{D5CDD505-2E9C-101B-9397-08002B2CF9AE}" pid="722" name="ZOTERO_BREF_sepcbfto26yS_3">
    <vt:lpwstr>Library Catalog","event-place":"Boston, MA","ISBN":"0-87584-874-5","call-number":"HD58.8 .H34 1999","note":"Local call number: 658.4063 .H133A MC\nPhysical descrip: xx, 295 p. : ill. ; 24 cm\nSubject: Organizational change--Management\nSubject: New busine</vt:lpwstr>
  </property>
  <property fmtid="{D5CDD505-2E9C-101B-9397-08002B2CF9AE}" pid="723" name="ZOTERO_BREF_sepcbfto26yS_4">
    <vt:lpwstr>ss enterprises--Management\nSubject: Management\nSubject: Corporate culture\nBibliography note: Includes bibliographical references (p. 277-283) and index","shortTitle":"Adaptive Enterprise","author":[{"family":"Haeckel","given":"Stephan H"}],"issued":{"d</vt:lpwstr>
  </property>
  <property fmtid="{D5CDD505-2E9C-101B-9397-08002B2CF9AE}" pid="724" name="ZOTERO_BREF_sepcbfto26yS_5">
    <vt:lpwstr>ate-parts":[["1999"]]}}}],"schema":"https://github.com/citation-style-language/schema/raw/master/csl-citation.json"}</vt:lpwstr>
  </property>
  <property fmtid="{D5CDD505-2E9C-101B-9397-08002B2CF9AE}" pid="725" name="ZOTERO_BREF_snaD2WuJRZDy_1">
    <vt:lpwstr>ZOTERO_ITEM CSL_CITATION {"citationID":"JvlAUpKR","properties":{"formattedCitation":"(Alexander, 2006)","plainCitation":"(Alexander, 2006)"},"citationItems":[{"id":16611,"uris":["http://zotero.org/users/10578/items/G4RUBMGF"],"uri":["http://zotero.org/use</vt:lpwstr>
  </property>
  <property fmtid="{D5CDD505-2E9C-101B-9397-08002B2CF9AE}" pid="726" name="ZOTERO_BREF_snaD2WuJRZDy_2">
    <vt:lpwstr>rs/10578/items/G4RUBMGF"],"itemData":{"id":16611,"type":"post-weblog","title":"The Relationships Between Pattern Languages, Sequences and Generative Codes","container-title":"Living Neighborhoods","URL":"http://www.livingneighborhoods.org/ht-0/patternlang</vt:lpwstr>
  </property>
  <property fmtid="{D5CDD505-2E9C-101B-9397-08002B2CF9AE}" pid="727" name="ZOTERO_BREF_snaD2WuJRZDy_3">
    <vt:lpwstr>uages.htm","author":[{"family":"Alexander","given":"Christopher"}],"issued":{"date-parts":[["2006"]]}}}],"schema":"https://github.com/citation-style-language/schema/raw/master/csl-citation.json"}</vt:lpwstr>
  </property>
  <property fmtid="{D5CDD505-2E9C-101B-9397-08002B2CF9AE}" pid="728" name="ZOTERO_BREF_tMdtdgBoQiSm_1">
    <vt:lpwstr>ZOTERO_ITEM CSL_CITATION {"citationID":"kSF7yCBq","properties":{"formattedCitation":"(Alexander, 1979, p. 322)","plainCitation":"(Alexander, 1979, p. 322)"},"citationItems":[{"id":1391,"uris":["http://zotero.org/users/10578/items/TE8TRH3R"],"uri":["http:/</vt:lpwstr>
  </property>
  <property fmtid="{D5CDD505-2E9C-101B-9397-08002B2CF9AE}" pid="729" name="ZOTERO_BREF_tMdtdgBoQiSm_2">
    <vt:lpwstr>/zotero.org/users/10578/items/TE8TRH3R"],"itemData":{"id":1391,"type":"book","title":"The Timeless Way of Building","publisher":"Oxford University Press","number-of-pages":"586","source":"Google Books","abstract":"The theory of architecture implicit in ou</vt:lpwstr>
  </property>
  <property fmtid="{D5CDD505-2E9C-101B-9397-08002B2CF9AE}" pid="730" name="ZOTERO_BREF_tMdtdgBoQiSm_3">
    <vt:lpwstr>r world today, Christopher Alexander believes, is bankrupt. More and more people are aware that something is deeply wrong. Yet the power of present-day ideas is so great that many feel uncomfortable, even afraid, to say openly that they dislike what is ha</vt:lpwstr>
  </property>
  <property fmtid="{D5CDD505-2E9C-101B-9397-08002B2CF9AE}" pid="731" name="ZOTERO_BREF_tMdtdgBoQiSm_4">
    <vt:lpwstr>ppening, because they are afraid to seem foolish, afraid perhaps that they will be laughed at.  Now, at last, there is a coherent theory which describes in modern terms an architecture as ancient as human society itself.  The Timeless Way of Buildingis th</vt:lpwstr>
  </property>
  <property fmtid="{D5CDD505-2E9C-101B-9397-08002B2CF9AE}" pid="732" name="ZOTERO_BREF_tMdtdgBoQiSm_5">
    <vt:lpwstr>e introductory volume in the Center for Environmental Structure series, Christopher Alexander presents in it a new theory of architecture, building, and planning which has at its core that age-old process by which the people of a society have always pulle</vt:lpwstr>
  </property>
  <property fmtid="{D5CDD505-2E9C-101B-9397-08002B2CF9AE}" pid="733" name="ZOTERO_BREF_tMdtdgBoQiSm_6">
    <vt:lpwstr>d the order of their world from their own being.  Alexander writes, \"There is one timeless way of building. It is thousands of years old, and the same today as it has always been. The great traditional buildings of the past, the villages and tents and te</vt:lpwstr>
  </property>
  <property fmtid="{D5CDD505-2E9C-101B-9397-08002B2CF9AE}" pid="734" name="ZOTERO_BREF_tMdtdgBoQiSm_7">
    <vt:lpwstr>mples in which man feels at home, have always been made by people who were very close to the center of this way. And as you will see, this way will lead anyone who looks for it to buildings which are themselves as ancient in their form as the trees and hi</vt:lpwstr>
  </property>
  <property fmtid="{D5CDD505-2E9C-101B-9397-08002B2CF9AE}" pid="735" name="ZOTERO_BREF_tMdtdgBoQiSm_8">
    <vt:lpwstr>lls, and as our faces are.\"","URL":"http://books.google.ca/books?id=H6CE9hlbO8sC","ISBN":"978-0-19-502402-9","language":"en","author":[{"family":"Alexander","given":"Christopher"}],"issued":{"date-parts":[["1979"]]}},"locator":"322","label":"page"}],"sch</vt:lpwstr>
  </property>
  <property fmtid="{D5CDD505-2E9C-101B-9397-08002B2CF9AE}" pid="736" name="ZOTERO_BREF_tMdtdgBoQiSm_9">
    <vt:lpwstr>ema":"https://github.com/citation-style-language/schema/raw/master/csl-citation.json"}</vt:lpwstr>
  </property>
  <property fmtid="{D5CDD505-2E9C-101B-9397-08002B2CF9AE}" pid="737" name="ZOTERO_BREF_tRw2bGa62jJF11_1">
    <vt:lpwstr>ZOTERO_ITEM CSL_CITATION {"citationID":"545JdX2v","properties":{"formattedCitation":"{\\rtf (S\\uc0\\u225{}nchez, 1994, p. 117)}","plainCitation":"(Sánchez, 1994, p. 117)"},"citationItems":[{"id":16570,"uris":["http://zotero.org/users/10578/items/N3RI5HDM</vt:lpwstr>
  </property>
  <property fmtid="{D5CDD505-2E9C-101B-9397-08002B2CF9AE}" pid="738" name="ZOTERO_BREF_tRw2bGa62jJF11_2">
    <vt:lpwstr>"],"uri":["http://zotero.org/users/10578/items/N3RI5HDM"],"itemData":{"id":16570,"type":"chapter","title":"Puerto Ricans and the Door of Participation in US Politics","container-title":"Handbook of Hispanic Cultures in the United States: Sociology","publi</vt:lpwstr>
  </property>
  <property fmtid="{D5CDD505-2E9C-101B-9397-08002B2CF9AE}" pid="739" name="ZOTERO_BREF_tRw2bGa62jJF11_3">
    <vt:lpwstr>sher-place":"Arte Publico Press","page":"110–132","source":"Google Scholar","event-place":"Arte Publico Press","URL":"https://books.google.com/books?id=Y-iZai2uv_sC","author":[{"family":"Sánchez","given":"José Ramón"}],"editor":[{"family":"Kanellos","give</vt:lpwstr>
  </property>
  <property fmtid="{D5CDD505-2E9C-101B-9397-08002B2CF9AE}" pid="740" name="ZOTERO_BREF_tRw2bGa62jJF11_4">
    <vt:lpwstr>n":"Nicolás"}],"issued":{"date-parts":[["1994"]]},"accessed":{"date-parts":[["2016",8,27]]}},"locator":"117","label":"page"}],"schema":"https://github.com/citation-style-language/schema/raw/master/csl-citation.json"}</vt:lpwstr>
  </property>
  <property fmtid="{D5CDD505-2E9C-101B-9397-08002B2CF9AE}" pid="741" name="ZOTERO_BREF_tRw2bGa62jJF_1">
    <vt:lpwstr>ZOTERO_ITEM CSL_CITATION {"citationID":"545JdX2v","properties":{"formattedCitation":"{\\rtf (S\\uc0\\u225{}nchez, 1994, p. 117)}","plainCitation":"(Sánchez, 1994, p. 117)"},"citationItems":[{"id":16570,"uris":["http://zotero.org/users/10578/items/N3RI5HDM</vt:lpwstr>
  </property>
  <property fmtid="{D5CDD505-2E9C-101B-9397-08002B2CF9AE}" pid="742" name="ZOTERO_BREF_tRw2bGa62jJF_2">
    <vt:lpwstr>"],"uri":["http://zotero.org/users/10578/items/N3RI5HDM"],"itemData":{"id":16570,"type":"chapter","title":"Puerto Ricans and the Door of Participation in US Politics","container-title":"Handbook of Hispanic Cultures in the United States: Sociology","publi</vt:lpwstr>
  </property>
  <property fmtid="{D5CDD505-2E9C-101B-9397-08002B2CF9AE}" pid="743" name="ZOTERO_BREF_tRw2bGa62jJF_3">
    <vt:lpwstr>sher-place":"Arte Publico Press","page":"110–132","source":"Google Scholar","event-place":"Arte Publico Press","URL":"https://books.google.ca/books?hl=en&amp;lr=&amp;id=Y-iZai2uv_sC&amp;oi=fnd&amp;pg=PA110&amp;dq=%22puerto+ricans+and+the+door+of+participation+into+u.s.+polit</vt:lpwstr>
  </property>
  <property fmtid="{D5CDD505-2E9C-101B-9397-08002B2CF9AE}" pid="744" name="ZOTERO_BREF_tRw2bGa62jJF_4">
    <vt:lpwstr>ics%22&amp;ots=Tk-vg_6PYv&amp;sig=3CS6-T1W9zKFQlK-CWlOnx6Ptfo","author":[{"family":"Sánchez","given":"José Ramón"}],"issued":{"date-parts":[["1994"]]},"accessed":{"date-parts":[["2016",8,27]]}},"locator":"117","label":"page"}],"schema":"https://github.com/citatio</vt:lpwstr>
  </property>
  <property fmtid="{D5CDD505-2E9C-101B-9397-08002B2CF9AE}" pid="745" name="ZOTERO_BREF_tRw2bGa62jJF_5">
    <vt:lpwstr>n-style-language/schema/raw/master/csl-citation.json"}</vt:lpwstr>
  </property>
  <property fmtid="{D5CDD505-2E9C-101B-9397-08002B2CF9AE}" pid="746" name="ZOTERO_BREF_twPeah4vve5v1_1">
    <vt:lpwstr>ZOTERO_ITEM CSL_CITATION {"citationID":"VbB3CyKg","properties":{"formattedCitation":"{\\rtf (Motohashi, Hanyuda, &amp; Nakano, 2013, pp. 2\\uc0\\u8211{}3)}","plainCitation":"(Motohashi, Hanyuda, &amp; Nakano, 2013, pp. 2–3)"},"citationItems":[{"id":16388,"uris":[</vt:lpwstr>
  </property>
  <property fmtid="{D5CDD505-2E9C-101B-9397-08002B2CF9AE}" pid="747" name="ZOTERO_BREF_twPeah4vve5v1_2">
    <vt:lpwstr>"http://zotero.org/users/10578/items/WKFKV82X"],"uri":["http://zotero.org/users/10578/items/WKFKV82X"],"itemData":{"id":16388,"type":"paper-conference","title":"From pattern languages to a project language: a shift proposal from existing pattern community</vt:lpwstr>
  </property>
  <property fmtid="{D5CDD505-2E9C-101B-9397-08002B2CF9AE}" pid="748" name="ZOTERO_BREF_twPeah4vve5v1_3">
    <vt:lpwstr>","publisher":"The Hillside Group","page":"33","source":"dl.acm.org","event":"Proceedings of the 20th Conference on Pattern Languages of Programs","URL":"http://dl.acm.org/citation.cfm?id=2725669.2725708","ISBN":"978-1-941652-00-8","shortTitle":"From patt</vt:lpwstr>
  </property>
  <property fmtid="{D5CDD505-2E9C-101B-9397-08002B2CF9AE}" pid="749" name="ZOTERO_BREF_twPeah4vve5v1_4">
    <vt:lpwstr>ern languages to a project language","author":[{"family":"Motohashi","given":"Masanari"},{"family":"Hanyuda","given":"Eiiti"},{"family":"Nakano","given":"Hiroshi"}],"issued":{"date-parts":[["2013"]]},"accessed":{"date-parts":[["2016",6,10]]}},"locator":"2</vt:lpwstr>
  </property>
  <property fmtid="{D5CDD505-2E9C-101B-9397-08002B2CF9AE}" pid="750" name="ZOTERO_BREF_twPeah4vve5v1_5">
    <vt:lpwstr>-3","label":"page"}],"schema":"https://github.com/citation-style-language/schema/raw/master/csl-citation.json"}</vt:lpwstr>
  </property>
  <property fmtid="{D5CDD505-2E9C-101B-9397-08002B2CF9AE}" pid="751" name="ZOTERO_BREF_twPeah4vve5v_1">
    <vt:lpwstr>ZOTERO_ITEM CSL_CITATION {"citationID":"VbB3CyKg","properties":{"formattedCitation":"{\\rtf (Motohashi, Hanyuda, &amp; Nakano, 2013, pp. 2\\uc0\\u8211{}3)}","plainCitation":"(Motohashi, Hanyuda, &amp; Nakano, 2013, pp. 2–3)"},"citationItems":[{"id":16388,"uris":[</vt:lpwstr>
  </property>
  <property fmtid="{D5CDD505-2E9C-101B-9397-08002B2CF9AE}" pid="752" name="ZOTERO_BREF_twPeah4vve5v_2">
    <vt:lpwstr>"http://zotero.org/users/10578/items/WKFKV82X"],"uri":["http://zotero.org/users/10578/items/WKFKV82X"],"itemData":{"id":16388,"type":"paper-conference","title":"From pattern languages to a project language: a shift proposal from existing pattern community</vt:lpwstr>
  </property>
  <property fmtid="{D5CDD505-2E9C-101B-9397-08002B2CF9AE}" pid="753" name="ZOTERO_BREF_twPeah4vve5v_3">
    <vt:lpwstr>","publisher":"The Hillside Group","page":"33","source":"dl.acm.org","event":"Proceedings of the 20th Conference on Pattern Languages of Programs","URL":"http://dl.acm.org/citation.cfm?id=2725669.2725708","ISBN":"978-1-941652-00-8","shortTitle":"From patt</vt:lpwstr>
  </property>
  <property fmtid="{D5CDD505-2E9C-101B-9397-08002B2CF9AE}" pid="754" name="ZOTERO_BREF_twPeah4vve5v_4">
    <vt:lpwstr>ern languages to a project language","author":[{"family":"Motohashi","given":"Masanari"},{"family":"Hanyuda","given":"Eiiti"},{"family":"Nakano","given":"Hiroshi"}],"issued":{"date-parts":[["2013"]]},"accessed":{"date-parts":[["2016",6,10]]}},"locator":"2</vt:lpwstr>
  </property>
  <property fmtid="{D5CDD505-2E9C-101B-9397-08002B2CF9AE}" pid="755" name="ZOTERO_BREF_twPeah4vve5v_5">
    <vt:lpwstr>-3","label":"page"}],"schema":"https://github.com/citation-style-language/schema/raw/master/csl-citation.json"}</vt:lpwstr>
  </property>
  <property fmtid="{D5CDD505-2E9C-101B-9397-08002B2CF9AE}" pid="756" name="ZOTERO_BREF_uNF1VywnnTks_1">
    <vt:lpwstr/>
  </property>
  <property fmtid="{D5CDD505-2E9C-101B-9397-08002B2CF9AE}" pid="757" name="ZOTERO_BREF_uRmISDThGQ7c_1">
    <vt:lpwstr/>
  </property>
  <property fmtid="{D5CDD505-2E9C-101B-9397-08002B2CF9AE}" pid="758" name="ZOTERO_BREF_ubplcv7dwEAf_1">
    <vt:lpwstr/>
  </property>
  <property fmtid="{D5CDD505-2E9C-101B-9397-08002B2CF9AE}" pid="759" name="ZOTERO_BREF_w3mHYr6TAy1E_1">
    <vt:lpwstr>ZOTERO_ITEM CSL_CITATION {"citationID":"iSRvweki","properties":{"formattedCitation":"{\\rtf (Alexander, Ishikawa, &amp; Silverstein, 1967, pp. 1\\uc0\\u8211{}4)}","plainCitation":"(Alexander, Ishikawa, &amp; Silverstein, 1967, pp. 1–4)"},"citationItems":[{"id":18</vt:lpwstr>
  </property>
  <property fmtid="{D5CDD505-2E9C-101B-9397-08002B2CF9AE}" pid="760" name="ZOTERO_BREF_w3mHYr6TAy1E_2">
    <vt:lpwstr>09,"uris":["http://zotero.org/users/10578/items/XF3M9TTX"],"uri":["http://zotero.org/users/10578/items/XF3M9TTX"],"itemData":{"id":1809,"type":"book","title":"Pattern Manual","publisher":"Center for Environmental Structure","publisher-place":"Berkeley, Ca</vt:lpwstr>
  </property>
  <property fmtid="{D5CDD505-2E9C-101B-9397-08002B2CF9AE}" pid="761" name="ZOTERO_BREF_w3mHYr6TAy1E_3">
    <vt:lpwstr>lifornia","number-of-pages":"21","source":"Google Books","event-place":"Berkeley, California","URL":"http://books.google.com/books?id=_VYpGwAACAAJ","language":"en","author":[{"family":"Alexander","given":"Christopher"},{"family":"Ishikawa","given":"Sara"}</vt:lpwstr>
  </property>
  <property fmtid="{D5CDD505-2E9C-101B-9397-08002B2CF9AE}" pid="762" name="ZOTERO_BREF_w3mHYr6TAy1E_4">
    <vt:lpwstr>,{"family":"Silverstein","given":"Murray"}],"issued":{"date-parts":[["1967"]]}},"locator":"1-4","label":"page"}],"schema":"https://github.com/citation-style-language/schema/raw/master/csl-citation.json"}</vt:lpwstr>
  </property>
  <property fmtid="{D5CDD505-2E9C-101B-9397-08002B2CF9AE}" pid="763" name="ZOTERO_BREF_wGAUM0yYxTtR_1">
    <vt:lpwstr>ZOTERO_ITEM CSL_CITATION {"citationID":"UAw1U9df","properties":{"formattedCitation":"{\\rtf (Seamon &amp; Sowers, 2008, pp. 48\\uc0\\u8211{}49)}","plainCitation":"(Seamon &amp; Sowers, 2008, pp. 48–49)"},"citationItems":[{"id":16617,"uris":["http://zotero.org/use</vt:lpwstr>
  </property>
  <property fmtid="{D5CDD505-2E9C-101B-9397-08002B2CF9AE}" pid="764" name="ZOTERO_BREF_wGAUM0yYxTtR_10">
    <vt:lpwstr>ng questions about human geography and what constitutes geographical knowledge.","ISBN":"978-1-4462-4365-7","note":"Google-Books-ID: WoVVnraOzOIC","language":"en","author":[{"family":"Seamon","given":"David"},{"family":"Sowers","given":"Jacob"}],"editor":</vt:lpwstr>
  </property>
  <property fmtid="{D5CDD505-2E9C-101B-9397-08002B2CF9AE}" pid="765" name="ZOTERO_BREF_wGAUM0yYxTtR_11">
    <vt:lpwstr>[{"family":"Hubbard","given":"Phil"},{"family":"Kitchin","given":"Rob"},{"family":"Valentine","given":""}],"issued":{"date-parts":[["2008"]]}},"locator":"48-49","label":"page"}],"schema":"https://github.com/citation-style-language/schema/raw/master/csl-ci</vt:lpwstr>
  </property>
  <property fmtid="{D5CDD505-2E9C-101B-9397-08002B2CF9AE}" pid="766" name="ZOTERO_BREF_wGAUM0yYxTtR_12">
    <vt:lpwstr>tation.json"}</vt:lpwstr>
  </property>
  <property fmtid="{D5CDD505-2E9C-101B-9397-08002B2CF9AE}" pid="767" name="ZOTERO_BREF_wGAUM0yYxTtR_2">
    <vt:lpwstr>rs/10578/items/P8TE8A36"],"uri":["http://zotero.org/users/10578/items/P8TE8A36"],"itemData":{"id":16617,"type":"chapter","title":"Place and Placelessness (1976): Edward Relph","container-title":"Key Texts in Human Geography","publisher":"Sage","publisher-</vt:lpwstr>
  </property>
  <property fmtid="{D5CDD505-2E9C-101B-9397-08002B2CF9AE}" pid="768" name="ZOTERO_BREF_wGAUM0yYxTtR_3">
    <vt:lpwstr>place":"London","page":"43-51","source":"Google Books","event-place":"London","abstract":"\"A book that will delight students… Key Texts in Human Geography is a primer of 26 interpretive essays designed to open up the subject's landmark monographs of the </vt:lpwstr>
  </property>
  <property fmtid="{D5CDD505-2E9C-101B-9397-08002B2CF9AE}" pid="769" name="ZOTERO_BREF_wGAUM0yYxTtR_4">
    <vt:lpwstr>past 50 years to critical interpretation... The essays are uniformly excellent and the enthusiasm of the authors for the project shines through… It will find itself at the top of a thousand module handouts.\"  - THE Textbook Guide  \"Will surely become a </vt:lpwstr>
  </property>
  <property fmtid="{D5CDD505-2E9C-101B-9397-08002B2CF9AE}" pid="770" name="ZOTERO_BREF_wGAUM0yYxTtR_5">
    <vt:lpwstr>‘key text’ itself. Read any chapter and you will want to compare it with another. Before you realize, an afternoon is gone and then you are tracking down the originals.\"  - Professor James Sidaway, University of Plymouth  'An essential synopsis of essent</vt:lpwstr>
  </property>
  <property fmtid="{D5CDD505-2E9C-101B-9397-08002B2CF9AE}" pid="771" name="ZOTERO_BREF_wGAUM0yYxTtR_6">
    <vt:lpwstr>ial readings that every human geographer must read. It is highly recommended for those just embarking on their careers as well as those who need a reminder of how and why geography moved from the margins of social thought to its very core.\" - Barney Warf</vt:lpwstr>
  </property>
  <property fmtid="{D5CDD505-2E9C-101B-9397-08002B2CF9AE}" pid="772" name="ZOTERO_BREF_wGAUM0yYxTtR_7">
    <vt:lpwstr>, Florida State University  Undergraduate geography students are often directed to 'key' texts in the literature but find them difficult to read because of their language and argument. As a result, they fail to get to grips with the subject matter and gra</vt:lpwstr>
  </property>
  <property fmtid="{D5CDD505-2E9C-101B-9397-08002B2CF9AE}" pid="773" name="ZOTERO_BREF_wGAUM0yYxTtR_8">
    <vt:lpwstr>vitate towards course textbooks instead. Key Texts in Human Geography serves as a primer and companion to the key texts in human geography published over the past 40 years. It is not a reader, but a volume of 26 interpretive essays highlighting:   the sig</vt:lpwstr>
  </property>
  <property fmtid="{D5CDD505-2E9C-101B-9397-08002B2CF9AE}" pid="774" name="ZOTERO_BREF_wGAUM0yYxTtR_9">
    <vt:lpwstr>nificance of the text how the book should be read reactions and controversies surrounding the book the book's long-term legacy.  It is an essential reference guide for all students of human geography and provides an invaluable interpretive tool in answeri</vt:lpwstr>
  </property>
  <property fmtid="{D5CDD505-2E9C-101B-9397-08002B2CF9AE}" pid="775" name="ZOTERO_BREF_wXl1kl1XqW1W_1">
    <vt:lpwstr>ZOTERO_ITEM CSL_CITATION {"citationID":"TVVMoY5G","properties":{"formattedCitation":"(Kunz &amp; Rittel, 1970)","plainCitation":"(Kunz &amp; Rittel, 1970)"},"citationItems":[{"id":16588,"uris":["http://zotero.org/users/10578/items/DWMBD6AE"],"uri":["http://zotero</vt:lpwstr>
  </property>
  <property fmtid="{D5CDD505-2E9C-101B-9397-08002B2CF9AE}" pid="776" name="ZOTERO_BREF_wXl1kl1XqW1W_2">
    <vt:lpwstr>.org/users/10578/items/DWMBD6AE"],"itemData":{"id":16588,"type":"book","title":"Issues as elements of information systems","publisher":"Institute of Urban and Regional Development, University of California, Berkeley","volume":"131","source":"Google Schola</vt:lpwstr>
  </property>
  <property fmtid="{D5CDD505-2E9C-101B-9397-08002B2CF9AE}" pid="777" name="ZOTERO_BREF_wXl1kl1XqW1W_3">
    <vt:lpwstr>r","author":[{"family":"Kunz","given":"Werner"},{"family":"Rittel","given":"Horst WJ"}],"issued":{"date-parts":[["1970"]]},"accessed":{"date-parts":[["2016",9,6]]}}}],"schema":"https://github.com/citation-style-language/schema/raw/master/csl-citation.json</vt:lpwstr>
  </property>
  <property fmtid="{D5CDD505-2E9C-101B-9397-08002B2CF9AE}" pid="778" name="ZOTERO_BREF_wXl1kl1XqW1W_4">
    <vt:lpwstr>"}</vt:lpwstr>
  </property>
  <property fmtid="{D5CDD505-2E9C-101B-9397-08002B2CF9AE}" pid="779" name="ZOTERO_BREF_wtONERaXUTro_1">
    <vt:lpwstr>ZOTERO_ITEM CSL_CITATION {"citationID":"AyMJD9Ia","properties":{"formattedCitation":"{\\rtf (Ingold, 2011a, pp. 26\\uc0\\u8211{}27)}","plainCitation":"(Ingold, 2011a, pp. 26–27)"},"citationItems":[{"id":16371,"uris":["http://zotero.org/users/10578/items/T</vt:lpwstr>
  </property>
  <property fmtid="{D5CDD505-2E9C-101B-9397-08002B2CF9AE}" pid="780" name="ZOTERO_BREF_wtONERaXUTro_2">
    <vt:lpwstr>7TGA5WQ"],"uri":["http://zotero.org/users/10578/items/T7TGA5WQ"],"itemData":{"id":16371,"type":"chapter","title":"Anthropology is not ethnography","container-title":"Being Alive: Essays on Movement, Knowledge and Description","publisher":"Routledge","page</vt:lpwstr>
  </property>
  <property fmtid="{D5CDD505-2E9C-101B-9397-08002B2CF9AE}" pid="781" name="ZOTERO_BREF_wtONERaXUTro_3">
    <vt:lpwstr>":"229-243","source":"Google Books","abstract":"Anthropology is a disciplined inquiry into the conditions and potentials of human life. Generations of theorists, however, have expunged life from their accounts, treating it as the mere output of patterns, </vt:lpwstr>
  </property>
  <property fmtid="{D5CDD505-2E9C-101B-9397-08002B2CF9AE}" pid="782" name="ZOTERO_BREF_wtONERaXUTro_4">
    <vt:lpwstr>codes, structures or systems variously defined as genetic or cultural, natural or social. Building on his classic work The Perception of the Environment, Tim Ingold sets out to restore life to where it should belong, at the heart of anthropological concer</vt:lpwstr>
  </property>
  <property fmtid="{D5CDD505-2E9C-101B-9397-08002B2CF9AE}" pid="783" name="ZOTERO_BREF_wtONERaXUTro_5">
    <vt:lpwstr>n.  Being Alive ranges over such themes as the vitality of materials, what it means to make things, the perception and formation of the ground, the mingling of earth and sky in the weather-world, the experiences of light, sound and feeling, the role of st</vt:lpwstr>
  </property>
  <property fmtid="{D5CDD505-2E9C-101B-9397-08002B2CF9AE}" pid="784" name="ZOTERO_BREF_wtONERaXUTro_6">
    <vt:lpwstr>orytelling in the integration of knowledge, and the potential of drawing to unite observation and description.  Our humanity, Ingold argues, does not come ready-made but is continually fashioned in our movements along ways of life. Starting from the idea </vt:lpwstr>
  </property>
  <property fmtid="{D5CDD505-2E9C-101B-9397-08002B2CF9AE}" pid="785" name="ZOTERO_BREF_wtONERaXUTro_7">
    <vt:lpwstr>of life as a process of wayfaring, Ingold presents a radically new understanding of movement, knowledge and description as dimensions not just of being in the world, but of being alive to what is going on there.","ISBN":"978-1-136-73543-1","language":"en"</vt:lpwstr>
  </property>
  <property fmtid="{D5CDD505-2E9C-101B-9397-08002B2CF9AE}" pid="786" name="ZOTERO_BREF_wtONERaXUTro_8">
    <vt:lpwstr>,"author":[{"family":"Ingold","given":"Tim"}],"issued":{"date-parts":[["2011"]]}},"locator":"26-27","label":"page"}],"schema":"https://github.com/citation-style-language/schema/raw/master/csl-citation.json"}</vt:lpwstr>
  </property>
  <property fmtid="{D5CDD505-2E9C-101B-9397-08002B2CF9AE}" pid="787" name="ZOTERO_BREF_x0p20H4vMDHD_1">
    <vt:lpwstr>ZOTERO_ITEM CSL_CITATION {"citationID":"JnvHa770","properties":{"formattedCitation":"(Checkland &amp; Poulter, 2010)","plainCitation":"(Checkland &amp; Poulter, 2010)"},"citationItems":[{"id":1014,"uris":["http://zotero.org/users/10578/items/FHSU8TGD"],"uri":["ht</vt:lpwstr>
  </property>
  <property fmtid="{D5CDD505-2E9C-101B-9397-08002B2CF9AE}" pid="788" name="ZOTERO_BREF_x0p20H4vMDHD_2">
    <vt:lpwstr>tp://zotero.org/users/10578/items/FHSU8TGD"],"itemData":{"id":1014,"type":"chapter","title":"Soft Systems Methodology","container-title":"Systems Approaches to Managing Change: A Practical Guide","publisher":"Springer London","publisher-place":"London","s</vt:lpwstr>
  </property>
  <property fmtid="{D5CDD505-2E9C-101B-9397-08002B2CF9AE}" pid="789" name="ZOTERO_BREF_x0p20H4vMDHD_3">
    <vt:lpwstr>ource":"CrossRef","event-place":"London","abstract":"Soft systems methodology (SSM) is an approach for tackling problematical, messy situations of all kinds. It is an action-oriented process of inquiry into problematic situations in which users learn thei</vt:lpwstr>
  </property>
  <property fmtid="{D5CDD505-2E9C-101B-9397-08002B2CF9AE}" pid="790" name="ZOTERO_BREF_x0p20H4vMDHD_4">
    <vt:lpwstr>r way from finding out about the situation, to taking action to improve it. The learning emerges via an organised process in which the situation is explored using a set of models of purposeful action (each built to encapsulate a single worldview) as intel</vt:lpwstr>
  </property>
  <property fmtid="{D5CDD505-2E9C-101B-9397-08002B2CF9AE}" pid="791" name="ZOTERO_BREF_x0p20H4vMDHD_5">
    <vt:lpwstr>lectual devices, or tools, to inform and structure discussion about a situation and how it might be improved. This paper, written by the original developer Peter Checkland and practitioner John Poulter, gives a clear and concise account of the approach th</vt:lpwstr>
  </property>
  <property fmtid="{D5CDD505-2E9C-101B-9397-08002B2CF9AE}" pid="792" name="ZOTERO_BREF_x0p20H4vMDHD_6">
    <vt:lpwstr>at covers SSM’s specific techniques, the learning cycle process of the methodology and the craft skills which practitioners develop. This concise but theoretically robust account nevertheless includes the fundamental concepts, techniques, core tenets desc</vt:lpwstr>
  </property>
  <property fmtid="{D5CDD505-2E9C-101B-9397-08002B2CF9AE}" pid="793" name="ZOTERO_BREF_x0p20H4vMDHD_7">
    <vt:lpwstr>ribed through a wide range of settings.\nThis chapter uses edited excerpts and selected figures from Checkland, P. and Poulter, J. (2006) Learning for Action: A Short Definitive Account of Soft Systems Methodology and its use for Practitioners, copyright </vt:lpwstr>
  </property>
  <property fmtid="{D5CDD505-2E9C-101B-9397-08002B2CF9AE}" pid="794" name="ZOTERO_BREF_x0p20H4vMDHD_8">
    <vt:lpwstr>of John Wiley and Sons Limited. Reproduced with permission.","URL":"http://dx.doi.org/10.1007/978-1-84882-809-4_5","ISBN":"978-1-84882-808-7","editor":[{"family":"Reynolds","given":"Martin"},{"family":"Holwell","given":"Sue"}],"author":[{"family":"Checkla</vt:lpwstr>
  </property>
  <property fmtid="{D5CDD505-2E9C-101B-9397-08002B2CF9AE}" pid="795" name="ZOTERO_BREF_x0p20H4vMDHD_9">
    <vt:lpwstr>nd","given":"Peter"},{"family":"Poulter","given":"John"}],"issued":{"date-parts":[["2010"]]},"accessed":{"date-parts":[["2011",2,2]]}}}],"schema":"https://github.com/citation-style-language/schema/raw/master/csl-citation.json"}</vt:lpwstr>
  </property>
  <property fmtid="{D5CDD505-2E9C-101B-9397-08002B2CF9AE}" pid="796" name="ZOTERO_BREF_x1cJCIBK1P7g_1">
    <vt:lpwstr>ZOTERO_ITEM CSL_CITATION {"citationID":"8an4pTQf","properties":{"formattedCitation":"(Hirschman, 1970, p. 30)","plainCitation":"(Hirschman, 1970, p. 30)"},"citationItems":[{"id":118,"uris":["http://zotero.org/users/10578/items/P4JTDJCN"],"uri":["http://zo</vt:lpwstr>
  </property>
  <property fmtid="{D5CDD505-2E9C-101B-9397-08002B2CF9AE}" pid="797" name="ZOTERO_BREF_x1cJCIBK1P7g_2">
    <vt:lpwstr>tero.org/users/10578/items/P4JTDJCN"],"itemData":{"id":118,"type":"book","title":"Exit, voice, and loyalty","publisher":"Harvard University Press","publisher-place":"Cambridge, MA","source":"Google Books","event-place":"Cambridge, MA","ISBN":"0-674-27660-</vt:lpwstr>
  </property>
  <property fmtid="{D5CDD505-2E9C-101B-9397-08002B2CF9AE}" pid="798" name="ZOTERO_BREF_x1cJCIBK1P7g_3">
    <vt:lpwstr>4","author":[{"family":"Hirschman","given":"Albert O."}],"issued":{"date-parts":[["1970",1,1]]}},"locator":"30","label":"page"}],"schema":"https://github.com/citation-style-language/schema/raw/master/csl-citation.json"}</vt:lpwstr>
  </property>
  <property fmtid="{D5CDD505-2E9C-101B-9397-08002B2CF9AE}" pid="799" name="ZOTERO_BREF_y75RaIArJzct_1">
    <vt:lpwstr>ZOTERO_ITEM CSL_CITATION {"citationID":"YPNgAQ9t","properties":{"formattedCitation":"(Dreyfus, 1990, p. 92)","plainCitation":"(Dreyfus, 1990, p. 92)"},"citationItems":[{"id":1323,"uris":["http://zotero.org/users/10578/items/H9TD54EH"],"uri":["http://zoter</vt:lpwstr>
  </property>
  <property fmtid="{D5CDD505-2E9C-101B-9397-08002B2CF9AE}" pid="800" name="ZOTERO_BREF_y75RaIArJzct_2">
    <vt:lpwstr>o.org/users/10578/items/H9TD54EH"],"itemData":{"id":1323,"type":"book","title":"Being-in-the-world: A Commentary on Heidegger's Being and Time, Division I.","publisher":"Mit Press","source":"Google Scholar","URL":"http://books.google.com/books?id=ACIxwxBq</vt:lpwstr>
  </property>
  <property fmtid="{D5CDD505-2E9C-101B-9397-08002B2CF9AE}" pid="801" name="ZOTERO_BREF_y75RaIArJzct_3">
    <vt:lpwstr>2ZgC","shortTitle":"Being-in-the-world","author":[{"family":"Dreyfus","given":"Hubert L."}],"issued":{"date-parts":[["1990"]]},"accessed":{"date-parts":[["2012",12,6]]}},"locator":"92","label":"page"}],"schema":"https://github.com/citation-style-language/</vt:lpwstr>
  </property>
  <property fmtid="{D5CDD505-2E9C-101B-9397-08002B2CF9AE}" pid="802" name="ZOTERO_BREF_y75RaIArJzct_4">
    <vt:lpwstr>schema/raw/master/csl-citation.json"}</vt:lpwstr>
  </property>
  <property fmtid="{D5CDD505-2E9C-101B-9397-08002B2CF9AE}" pid="803" name="ZOTERO_BREF_yNMvUEIniEoP11_1">
    <vt:lpwstr>ZOTERO_ITEM CSL_CITATION {"citationID":"VsMctkJf","properties":{"formattedCitation":"(Opie, 2015, p. 108)","plainCitation":"(Opie, 2015, p. 108)"},"citationItems":[{"id":16572,"uris":["http://zotero.org/users/10578/items/T2BHFBMN"],"uri":["http://zotero.o</vt:lpwstr>
  </property>
  <property fmtid="{D5CDD505-2E9C-101B-9397-08002B2CF9AE}" pid="804" name="ZOTERO_BREF_yNMvUEIniEoP11_10">
    <vt:lpwstr>ps://github.com/citation-style-language/schema/raw/master/csl-citation.json"}</vt:lpwstr>
  </property>
  <property fmtid="{D5CDD505-2E9C-101B-9397-08002B2CF9AE}" pid="805" name="ZOTERO_BREF_yNMvUEIniEoP11_2">
    <vt:lpwstr>rg/users/10578/items/T2BHFBMN"],"itemData":{"id":16572,"type":"book","title":"Upsetting the Apple Cart: Black-Latino Coalitions in New York City from Protest to Public Office","publisher":"Columbia University Press","publisher-place":"New York","number-of</vt:lpwstr>
  </property>
  <property fmtid="{D5CDD505-2E9C-101B-9397-08002B2CF9AE}" pid="806" name="ZOTERO_BREF_yNMvUEIniEoP11_3">
    <vt:lpwstr>-pages":"313","source":"Google Books","event-place":"New York","abstract":"Upsetting the Apple Cart looks at the history of black-Latino coalitions in New York City from 1959 to 1989. In those years, African American and Latino Progressives organized, mob</vt:lpwstr>
  </property>
  <property fmtid="{D5CDD505-2E9C-101B-9397-08002B2CF9AE}" pid="807" name="ZOTERO_BREF_yNMvUEIniEoP11_4">
    <vt:lpwstr>ilized, and transformed neighborhoods, workplaces, university campuses, and representative government in the nationÕs urban capital. The book makes new contributions to our understanding of protest movements and strikes in the 1960s and 1970s and reveals </vt:lpwstr>
  </property>
  <property fmtid="{D5CDD505-2E9C-101B-9397-08002B2CF9AE}" pid="808" name="ZOTERO_BREF_yNMvUEIniEoP11_5">
    <vt:lpwstr>the little-known role of left-of-center organizations in New York City politics as well as the influence of Jesse JacksonÕs 1984 and 1988 presidential campaigns on city elections. Opie provides a social history of black and Latino working-class collaborat</vt:lpwstr>
  </property>
  <property fmtid="{D5CDD505-2E9C-101B-9397-08002B2CF9AE}" pid="809" name="ZOTERO_BREF_yNMvUEIniEoP11_6">
    <vt:lpwstr>ion in shared living and work spaces and reveals racist suspicion and divisive jockeying among elites in political clubs and anti-poverty programs. Upsetting the Apple Cart offers a different interpretation of the story of the labor, student, civil rights</vt:lpwstr>
  </property>
  <property fmtid="{D5CDD505-2E9C-101B-9397-08002B2CF9AE}" pid="810" name="ZOTERO_BREF_yNMvUEIniEoP11_7">
    <vt:lpwstr>, and Black Power movements than has been traditionally told. This is a story that highlights both the largely unknown agents of historic change in the city and the noted politicians, political strategists, and union leaders whose careers were built on th</vt:lpwstr>
  </property>
  <property fmtid="{D5CDD505-2E9C-101B-9397-08002B2CF9AE}" pid="811" name="ZOTERO_BREF_yNMvUEIniEoP11_8">
    <vt:lpwstr>is history. Lastly, as Napoleon said, ÒAn army marches on its stomach.Ó This is also a story that delves into the role that food plays in social movements, with representative recipes from the American South and the Caribbean included throughout.","ISBN":</vt:lpwstr>
  </property>
  <property fmtid="{D5CDD505-2E9C-101B-9397-08002B2CF9AE}" pid="812" name="ZOTERO_BREF_yNMvUEIniEoP11_9">
    <vt:lpwstr>"978-0-231-52035-5","note":"Google-Books-ID: on6SBQAAQBAJ","shortTitle":"Upsetting the Apple Cart","language":"en","author":[{"family":"Opie","given":"Frederick Douglass"}],"issued":{"date-parts":[["2015"]]}},"locator":"108","label":"page"}],"schema":"htt</vt:lpwstr>
  </property>
  <property fmtid="{D5CDD505-2E9C-101B-9397-08002B2CF9AE}" pid="813" name="ZOTERO_BREF_yNMvUEIniEoP_1">
    <vt:lpwstr>ZOTERO_ITEM CSL_CITATION {"citationID":"VsMctkJf","properties":{"formattedCitation":"(Opie, 2015, p. 108)","plainCitation":"(Opie, 2015, p. 108)"},"citationItems":[{"id":16572,"uris":["http://zotero.org/users/10578/items/T2BHFBMN"],"uri":["http://zotero.o</vt:lpwstr>
  </property>
  <property fmtid="{D5CDD505-2E9C-101B-9397-08002B2CF9AE}" pid="814" name="ZOTERO_BREF_yNMvUEIniEoP_10">
    <vt:lpwstr>ps://github.com/citation-style-language/schema/raw/master/csl-citation.json"}</vt:lpwstr>
  </property>
  <property fmtid="{D5CDD505-2E9C-101B-9397-08002B2CF9AE}" pid="815" name="ZOTERO_BREF_yNMvUEIniEoP_2">
    <vt:lpwstr>rg/users/10578/items/T2BHFBMN"],"itemData":{"id":16572,"type":"book","title":"Upsetting the Apple Cart: Black-Latino Coalitions in New York City from Protest to Public Office","publisher":"Columbia University Press","publisher-place":"New York","number-of</vt:lpwstr>
  </property>
  <property fmtid="{D5CDD505-2E9C-101B-9397-08002B2CF9AE}" pid="816" name="ZOTERO_BREF_yNMvUEIniEoP_3">
    <vt:lpwstr>-pages":"313","source":"Google Books","event-place":"New York","abstract":"Upsetting the Apple Cart looks at the history of black-Latino coalitions in New York City from 1959 to 1989. In those years, African American and Latino Progressives organized, mob</vt:lpwstr>
  </property>
  <property fmtid="{D5CDD505-2E9C-101B-9397-08002B2CF9AE}" pid="817" name="ZOTERO_BREF_yNMvUEIniEoP_4">
    <vt:lpwstr>ilized, and transformed neighborhoods, workplaces, university campuses, and representative government in the nationÕs urban capital. The book makes new contributions to our understanding of protest movements and strikes in the 1960s and 1970s and reveals </vt:lpwstr>
  </property>
  <property fmtid="{D5CDD505-2E9C-101B-9397-08002B2CF9AE}" pid="818" name="ZOTERO_BREF_yNMvUEIniEoP_5">
    <vt:lpwstr>the little-known role of left-of-center organizations in New York City politics as well as the influence of Jesse JacksonÕs 1984 and 1988 presidential campaigns on city elections. Opie provides a social history of black and Latino working-class collaborat</vt:lpwstr>
  </property>
  <property fmtid="{D5CDD505-2E9C-101B-9397-08002B2CF9AE}" pid="819" name="ZOTERO_BREF_yNMvUEIniEoP_6">
    <vt:lpwstr>ion in shared living and work spaces and reveals racist suspicion and divisive jockeying among elites in political clubs and anti-poverty programs. Upsetting the Apple Cart offers a different interpretation of the story of the labor, student, civil rights</vt:lpwstr>
  </property>
  <property fmtid="{D5CDD505-2E9C-101B-9397-08002B2CF9AE}" pid="820" name="ZOTERO_BREF_yNMvUEIniEoP_7">
    <vt:lpwstr>, and Black Power movements than has been traditionally told. This is a story that highlights both the largely unknown agents of historic change in the city and the noted politicians, political strategists, and union leaders whose careers were built on th</vt:lpwstr>
  </property>
  <property fmtid="{D5CDD505-2E9C-101B-9397-08002B2CF9AE}" pid="821" name="ZOTERO_BREF_yNMvUEIniEoP_8">
    <vt:lpwstr>is history. Lastly, as Napoleon said, ÒAn army marches on its stomach.Ó This is also a story that delves into the role that food plays in social movements, with representative recipes from the American South and the Caribbean included throughout.","ISBN":</vt:lpwstr>
  </property>
  <property fmtid="{D5CDD505-2E9C-101B-9397-08002B2CF9AE}" pid="822" name="ZOTERO_BREF_yNMvUEIniEoP_9">
    <vt:lpwstr>"978-0-231-52035-5","note":"Google-Books-ID: on6SBQAAQBAJ","shortTitle":"Upsetting the Apple Cart","language":"en","author":[{"family":"Opie","given":"Frederick Douglass"}],"issued":{"date-parts":[["2015"]]}},"locator":"108","label":"page"}],"schema":"htt</vt:lpwstr>
  </property>
  <property fmtid="{D5CDD505-2E9C-101B-9397-08002B2CF9AE}" pid="823" name="ZOTERO_BREF_yU9Djpw9a1FQ_1">
    <vt:lpwstr>ZOTERO_ITEM CSL_CITATION {"citationID":"oso6EtEa","properties":{"formattedCitation":"(Alexander, 1979, p. 35)","plainCitation":"(Alexander, 1979, p. 35)"},"citationItems":[{"id":1391,"uris":["http://zotero.org/users/10578/items/TE8TRH3R"],"uri":["http://z</vt:lpwstr>
  </property>
  <property fmtid="{D5CDD505-2E9C-101B-9397-08002B2CF9AE}" pid="824" name="ZOTERO_BREF_yU9Djpw9a1FQ_2">
    <vt:lpwstr>otero.org/users/10578/items/TE8TRH3R"],"itemData":{"id":1391,"type":"book","title":"The Timeless Way of Building","publisher":"Oxford University Press","number-of-pages":"586","source":"Google Books","abstract":"The theory of architecture implicit in our </vt:lpwstr>
  </property>
  <property fmtid="{D5CDD505-2E9C-101B-9397-08002B2CF9AE}" pid="825" name="ZOTERO_BREF_yU9Djpw9a1FQ_3">
    <vt:lpwstr>world today, Christopher Alexander believes, is bankrupt. More and more people are aware that something is deeply wrong. Yet the power of present-day ideas is so great that many feel uncomfortable, even afraid, to say openly that they dislike what is happ</vt:lpwstr>
  </property>
  <property fmtid="{D5CDD505-2E9C-101B-9397-08002B2CF9AE}" pid="826" name="ZOTERO_BREF_yU9Djpw9a1FQ_4">
    <vt:lpwstr>ening, because they are afraid to seem foolish, afraid perhaps that they will be laughed at.  Now, at last, there is a coherent theory which describes in modern terms an architecture as ancient as human society itself.  The Timeless Way of Buildingis the </vt:lpwstr>
  </property>
  <property fmtid="{D5CDD505-2E9C-101B-9397-08002B2CF9AE}" pid="827" name="ZOTERO_BREF_yU9Djpw9a1FQ_5">
    <vt:lpwstr>introductory volume in the Center for Environmental Structure series, Christopher Alexander presents in it a new theory of architecture, building, and planning which has at its core that age-old process by which the people of a society have always pulled </vt:lpwstr>
  </property>
  <property fmtid="{D5CDD505-2E9C-101B-9397-08002B2CF9AE}" pid="828" name="ZOTERO_BREF_yU9Djpw9a1FQ_6">
    <vt:lpwstr>the order of their world from their own being.  Alexander writes, \"There is one timeless way of building. It is thousands of years old, and the same today as it has always been. The great traditional buildings of the past, the villages and tents and temp</vt:lpwstr>
  </property>
  <property fmtid="{D5CDD505-2E9C-101B-9397-08002B2CF9AE}" pid="829" name="ZOTERO_BREF_yU9Djpw9a1FQ_7">
    <vt:lpwstr>les in which man feels at home, have always been made by people who were very close to the center of this way. And as you will see, this way will lead anyone who looks for it to buildings which are themselves as ancient in their form as the trees and hill</vt:lpwstr>
  </property>
  <property fmtid="{D5CDD505-2E9C-101B-9397-08002B2CF9AE}" pid="830" name="ZOTERO_BREF_yU9Djpw9a1FQ_8">
    <vt:lpwstr>s, and as our faces are.\"","URL":"http://books.google.ca/books?id=H6CE9hlbO8sC","ISBN":"978-0-19-502402-9","language":"en","author":[{"family":"Alexander","given":"Christopher"}],"issued":{"date-parts":[["1979"]]}},"locator":"35","label":"page"}],"schema</vt:lpwstr>
  </property>
  <property fmtid="{D5CDD505-2E9C-101B-9397-08002B2CF9AE}" pid="831" name="ZOTERO_BREF_yU9Djpw9a1FQ_9">
    <vt:lpwstr>":"https://github.com/citation-style-language/schema/raw/master/csl-citation.json"}</vt:lpwstr>
  </property>
  <property fmtid="{D5CDD505-2E9C-101B-9397-08002B2CF9AE}" pid="832" name="ZOTERO_BREF_yiXPsMNTz3Kk_1">
    <vt:lpwstr>ZOTERO_ITEM CSL_CITATION {"citationID":"nXfVwEKJ","properties":{"formattedCitation":"(Rittel &amp; Webber, 1973, p. 159)","plainCitation":"(Rittel &amp; Webber, 1973, p. 159)"},"citationItems":[{"id":1237,"uris":["http://zotero.org/users/10578/items/7RUIC2AG"],"u</vt:lpwstr>
  </property>
  <property fmtid="{D5CDD505-2E9C-101B-9397-08002B2CF9AE}" pid="833" name="ZOTERO_BREF_yiXPsMNTz3Kk_2">
    <vt:lpwstr>ri":["http://zotero.org/users/10578/items/7RUIC2AG"],"itemData":{"id":1237,"type":"article-journal","title":"Dilemmas in a general theory of planning","container-title":"Policy Sciences","page":"155–169","volume":"4","issue":"2","source":"Google Scholar",</vt:lpwstr>
  </property>
  <property fmtid="{D5CDD505-2E9C-101B-9397-08002B2CF9AE}" pid="834" name="ZOTERO_BREF_yiXPsMNTz3Kk_3">
    <vt:lpwstr>"URL":"http://dx.doi.org/10.1007/BF01405730","DOI":"10.1007/BF01405730","author":[{"family":"Rittel","given":"Horst WJ"},{"family":"Webber","given":"Melvin M."}],"issued":{"date-parts":[["1973"]]},"accessed":{"date-parts":[["2013",11,16]]}},"locator":"159</vt:lpwstr>
  </property>
  <property fmtid="{D5CDD505-2E9C-101B-9397-08002B2CF9AE}" pid="835" name="ZOTERO_BREF_yiXPsMNTz3Kk_4">
    <vt:lpwstr>","label":"page"}],"schema":"https://github.com/citation-style-language/schema/raw/master/csl-citation.json"}</vt:lpwstr>
  </property>
  <property fmtid="{D5CDD505-2E9C-101B-9397-08002B2CF9AE}" pid="836" name="ZOTERO_BREF_z5oaeiHXoyx1_1">
    <vt:lpwstr>ZOTERO_ITEM CSL_CITATION {"citationID":"aQDErTVR","properties":{"formattedCitation":"{\\rtf (Ingold, 2000a, pp. 166\\uc0\\u8211{}167)}","plainCitation":"(Ingold, 2000a, pp. 166–167)"},"citationItems":[{"id":16590,"uris":["http://zotero.org/users/10578/ite</vt:lpwstr>
  </property>
  <property fmtid="{D5CDD505-2E9C-101B-9397-08002B2CF9AE}" pid="837" name="ZOTERO_BREF_z5oaeiHXoyx1_2">
    <vt:lpwstr>ms/DZUV9M4G"],"uri":["http://zotero.org/users/10578/items/DZUV9M4G"],"itemData":{"id":16590,"type":"chapter","title":"Culture, perception and cognition","container-title":"The Perception of the Environment: Essays on Livelihood, Dwelling and Skill","publi</vt:lpwstr>
  </property>
  <property fmtid="{D5CDD505-2E9C-101B-9397-08002B2CF9AE}" pid="838" name="ZOTERO_BREF_z5oaeiHXoyx1_3">
    <vt:lpwstr>sher":"Routledge","page":"157-171","source":"Google Books","abstract":"In this work Tim Ingold offers a persuasive approach to understanding how human beings perceive their surroundings. He argues that what we are used to calling cultural variation consis</vt:lpwstr>
  </property>
  <property fmtid="{D5CDD505-2E9C-101B-9397-08002B2CF9AE}" pid="839" name="ZOTERO_BREF_z5oaeiHXoyx1_4">
    <vt:lpwstr>ts, in the first place, of variations in skill. Neither innate nor acquired, skills are grown, incorporated into the human organism through practice and training in an environment. They are thus as much biological as cultural. The twenty-three essays comp</vt:lpwstr>
  </property>
  <property fmtid="{D5CDD505-2E9C-101B-9397-08002B2CF9AE}" pid="840" name="ZOTERO_BREF_z5oaeiHXoyx1_5">
    <vt:lpwstr>rising this book focus in turn on the procurement of livelihood, on what it means to 'dwell', and on the nature of skill, weaving together approaches from social anthropology, ecological psychology, developmental biology and phenomenology in a way that ha</vt:lpwstr>
  </property>
  <property fmtid="{D5CDD505-2E9C-101B-9397-08002B2CF9AE}" pid="841" name="ZOTERO_BREF_z5oaeiHXoyx1_6">
    <vt:lpwstr>s never been attempted before. The book is set to revolutionise the way we think about what is 'biological' and 'cultural' in humans, about evolution and history, and indeed about what it means for human beings - at once organisms and persons - to inhabit</vt:lpwstr>
  </property>
  <property fmtid="{D5CDD505-2E9C-101B-9397-08002B2CF9AE}" pid="842" name="ZOTERO_BREF_z5oaeiHXoyx1_7">
    <vt:lpwstr> an environment. The Perception of the Environment will be essential reading not only for anthropologists but also for biologists, psychologists, archaeologists, geographers and philosophers.","URL":"https://books.google.com/books?id=_4p-UhXZV70C","ISBN":</vt:lpwstr>
  </property>
  <property fmtid="{D5CDD505-2E9C-101B-9397-08002B2CF9AE}" pid="843" name="ZOTERO_BREF_z5oaeiHXoyx1_8">
    <vt:lpwstr>"978-0-415-22832-9","language":"en","author":[{"family":"Ingold","given":"Tim"}],"issued":{"date-parts":[["2000"]]}},"locator":"166-167","label":"page"}],"schema":"https://github.com/citation-style-language/schema/raw/master/csl-citation.json"}</vt:lpwstr>
  </property>
  <property fmtid="{D5CDD505-2E9C-101B-9397-08002B2CF9AE}" pid="844" name="ZOTERO_BREF_zKnLnOYnYLaX_1">
    <vt:lpwstr>ZOTERO_ITEM CSL_CITATION {"citationID":"kTcxL4wo","properties":{"formattedCitation":"(Ingold, 2007b, p. 83)","plainCitation":"(Ingold, 2007b, p. 83)"},"citationItems":[{"id":16366,"uris":["http://zotero.org/users/10578/items/HIU74BCK"],"uri":["http://zote</vt:lpwstr>
  </property>
  <property fmtid="{D5CDD505-2E9C-101B-9397-08002B2CF9AE}" pid="845" name="ZOTERO_BREF_zKnLnOYnYLaX_2">
    <vt:lpwstr>ro.org/users/10578/items/HIU74BCK"],"itemData":{"id":16366,"type":"chapter","title":"Up, across and along","container-title":"Lines: A Brief History","publisher":"Routledge","publisher-place":"Milton Park, UK","page":"72-103","source":"Google Books","even</vt:lpwstr>
  </property>
  <property fmtid="{D5CDD505-2E9C-101B-9397-08002B2CF9AE}" pid="846" name="ZOTERO_BREF_zKnLnOYnYLaX_3">
    <vt:lpwstr>t-place":"Milton Park, UK","abstract":"What do walking, weaving, observing, storytelling, singing, drawing and writing have in common? The answer is that they all proceed along lines. In this extraordinary book Tim Ingold imagines a world in which everyon</vt:lpwstr>
  </property>
  <property fmtid="{D5CDD505-2E9C-101B-9397-08002B2CF9AE}" pid="847" name="ZOTERO_BREF_zKnLnOYnYLaX_4">
    <vt:lpwstr>e and everything consists of interwoven or interconnected lines and lays the foundations for a completely new discipline: the anthropological archaeology of the line.Ingold's argument leads us through the music of Ancient Greece and contemporary Japan, Si</vt:lpwstr>
  </property>
  <property fmtid="{D5CDD505-2E9C-101B-9397-08002B2CF9AE}" pid="848" name="ZOTERO_BREF_zKnLnOYnYLaX_5">
    <vt:lpwstr>berian labyrinths and Roman roads, Chinese calligraphy and the printed alphabet, weaving a path between antiquity and the present.Setting out from a puzzle about the relation between speech and song, Ingold considers how two kinds of line - threads and tr</vt:lpwstr>
  </property>
  <property fmtid="{D5CDD505-2E9C-101B-9397-08002B2CF9AE}" pid="849" name="ZOTERO_BREF_zKnLnOYnYLaX_6">
    <vt:lpwstr>aces - can turn into one another as surfaces form or dissolve. He reveals how our perception of lines has changed over time, with modernity converting to point-to-point connectors before becoming straight, only to be ruptured and fragmented by the postmod</vt:lpwstr>
  </property>
  <property fmtid="{D5CDD505-2E9C-101B-9397-08002B2CF9AE}" pid="850" name="ZOTERO_BREF_zKnLnOYnYLaX_7">
    <vt:lpwstr>ern world. Drawing on a multitude of disciplines including archaeology, classical studies, art history, linguistics, psychology, musicology, philosophy and many others, and including more than seventy illustrations, this book takes us on an exhilarating i</vt:lpwstr>
  </property>
  <property fmtid="{D5CDD505-2E9C-101B-9397-08002B2CF9AE}" pid="851" name="ZOTERO_BREF_zKnLnOYnYLaX_8">
    <vt:lpwstr>ntellectual journey that will change the way we look at the world and how we go about in it.","ISBN":"978-0-203-96115-5","language":"en","author":[{"family":"Ingold","given":"Tim"}],"issued":{"date-parts":[["2007"]]}},"locator":"83","label":"page"}],"sche</vt:lpwstr>
  </property>
  <property fmtid="{D5CDD505-2E9C-101B-9397-08002B2CF9AE}" pid="852" name="ZOTERO_BREF_zKnLnOYnYLaX_9">
    <vt:lpwstr>ma":"https://github.com/citation-style-language/schema/raw/master/csl-citation.json"}</vt:lpwstr>
  </property>
  <property fmtid="{D5CDD505-2E9C-101B-9397-08002B2CF9AE}" pid="853" name="ZOTERO_BREF_zVKQ7OntOShd_1">
    <vt:lpwstr>ZOTERO_ITEM CSL_CITATION {"citationID":"Aqo0BlRn","properties":{"formattedCitation":"(Pirsig, 1974)","plainCitation":"(Pirsig, 1974)"},"citationItems":[{"id":16641,"uris":["http://zotero.org/users/10578/items/55BBPIAN"],"uri":["http://zotero.org/users/105</vt:lpwstr>
  </property>
  <property fmtid="{D5CDD505-2E9C-101B-9397-08002B2CF9AE}" pid="854" name="ZOTERO_BREF_zVKQ7OntOShd_2">
    <vt:lpwstr>78/items/55BBPIAN"],"itemData":{"id":16641,"type":"book","title":"Zen and the art of motorcycle maintenance","publisher":"Bantam","number-of-pages":"422","source":"Google Books","abstract":"The novel, published in 1974, uses a long motorcycle trip to fram</vt:lpwstr>
  </property>
  <property fmtid="{D5CDD505-2E9C-101B-9397-08002B2CF9AE}" pid="855" name="ZOTERO_BREF_zVKQ7OntOShd_3">
    <vt:lpwstr>e a prolonged exploration of the world of ideas, about life and how best to live it. It references perspectives from Western and Eastern Civilizations as it explores the central question of the how to pursue technology so that human life is enriched rathe</vt:lpwstr>
  </property>
  <property fmtid="{D5CDD505-2E9C-101B-9397-08002B2CF9AE}" pid="856" name="ZOTERO_BREF_zVKQ7OntOShd_4">
    <vt:lpwstr>r than degraded. Narrated in the first person, it incorporates a parallel presentation of trip details and an ongoing retrospective concerning dramatic events from the Narrator's past, creating rich symbolism and including numerous analogies reinforcing t</vt:lpwstr>
  </property>
  <property fmtid="{D5CDD505-2E9C-101B-9397-08002B2CF9AE}" pid="857" name="ZOTERO_BREF_zVKQ7OntOShd_5">
    <vt:lpwstr>he overall theme of coming to terms with the mysteries of why we exist and how best to live.","ISBN":"978-0-553-10310-6","note":"Google-Books-ID: ryTm8RbGC_0C","language":"en","author":[{"family":"Pirsig","given":"Robert M."}],"issued":{"date-parts":[["19</vt:lpwstr>
  </property>
  <property fmtid="{D5CDD505-2E9C-101B-9397-08002B2CF9AE}" pid="858" name="ZOTERO_BREF_zVKQ7OntOShd_6">
    <vt:lpwstr>74"]]}}}],"schema":"https://github.com/citation-style-language/schema/raw/master/csl-citation.json"}</vt:lpwstr>
  </property>
  <property fmtid="{D5CDD505-2E9C-101B-9397-08002B2CF9AE}" pid="859" name="ZOTERO_BREF_zoqcHy3k0P1811_1">
    <vt:lpwstr>ZOTERO_ITEM CSL_CITATION {"citationID":"hrl9pdx9","properties":{"formattedCitation":"{\\rtf (Alexander et al., 1968, pp. 17\\uc0\\u8211{}19)}","plainCitation":"(Alexander et al., 1968, pp. 17–19)"},"citationItems":[{"id":1808,"uris":["http://zotero.org/us</vt:lpwstr>
  </property>
  <property fmtid="{D5CDD505-2E9C-101B-9397-08002B2CF9AE}" pid="860" name="ZOTERO_BREF_zoqcHy3k0P1811_2">
    <vt:lpwstr>ers/10578/items/Q37EGESQ"],"uri":["http://zotero.org/users/10578/items/Q37EGESQ"],"itemData":{"id":1808,"type":"book","title":"A Pattern Language which Generates Multi-service Centers","publisher":"Center for Environmental Structure","number-of-pages":"30</vt:lpwstr>
  </property>
  <property fmtid="{D5CDD505-2E9C-101B-9397-08002B2CF9AE}" pid="861" name="ZOTERO_BREF_zoqcHy3k0P1811_3">
    <vt:lpwstr>6","source":"Google Books","URL":"http://books.google.ca/books?id=FGdPAAAAMAAJ","language":"en","author":[{"family":"Alexander","given":"Christopher"},{"family":"Ishikawa","given":"Sara"},{"family":"Silverstein","given":"Murray"}],"issued":{"date-parts":[</vt:lpwstr>
  </property>
  <property fmtid="{D5CDD505-2E9C-101B-9397-08002B2CF9AE}" pid="862" name="ZOTERO_BREF_zoqcHy3k0P1811_4">
    <vt:lpwstr>["1968"]]}},"locator":"17-19","label":"page"}],"schema":"https://github.com/citation-style-language/schema/raw/master/csl-citation.json"}</vt:lpwstr>
  </property>
  <property fmtid="{D5CDD505-2E9C-101B-9397-08002B2CF9AE}" pid="863" name="ZOTERO_BREF_zoqcHy3k0P18_1">
    <vt:lpwstr>ZOTERO_ITEM CSL_CITATION {"citationID":"hrl9pdx9","properties":{"formattedCitation":"{\\rtf (Alexander et al., 1968, pp. 17\\uc0\\u8211{}19)}","plainCitation":"(Alexander et al., 1968, pp. 17–19)"},"citationItems":[{"id":1808,"uris":["http://zotero.org/us</vt:lpwstr>
  </property>
  <property fmtid="{D5CDD505-2E9C-101B-9397-08002B2CF9AE}" pid="864" name="ZOTERO_BREF_zoqcHy3k0P18_2">
    <vt:lpwstr>ers/10578/items/Q37EGESQ"],"uri":["http://zotero.org/users/10578/items/Q37EGESQ"],"itemData":{"id":1808,"type":"book","title":"A Pattern Language which Generates Multi-service Centers","publisher":"Center for Environmental Structure","number-of-pages":"30</vt:lpwstr>
  </property>
  <property fmtid="{D5CDD505-2E9C-101B-9397-08002B2CF9AE}" pid="865" name="ZOTERO_BREF_zoqcHy3k0P18_3">
    <vt:lpwstr>6","source":"Google Books","URL":"http://books.google.ca/books?id=FGdPAAAAMAAJ","language":"en","author":[{"family":"Alexander","given":"Christopher"},{"family":"Ishikawa","given":"Sara"},{"family":"Silverstein","given":"Murray"}],"issued":{"date-parts":[</vt:lpwstr>
  </property>
  <property fmtid="{D5CDD505-2E9C-101B-9397-08002B2CF9AE}" pid="866" name="ZOTERO_BREF_zoqcHy3k0P18_4">
    <vt:lpwstr>["1968"]]}},"locator":"17-19","label":"page"}],"schema":"https://github.com/citation-style-language/schema/raw/master/csl-citation.json"}</vt:lpwstr>
  </property>
  <property fmtid="{D5CDD505-2E9C-101B-9397-08002B2CF9AE}" pid="867" name="ZOTERO_PREF_1">
    <vt:lpwstr>&lt;data data-version="3" zotero-version="4.0.29.14"&gt;&lt;session id="20ZWUgKK"/&gt;&lt;style id="http://www.zotero.org/styles/apa" locale="en-US" hasBibliography="1" bibliographyStyleHasBeenSet="1"/&gt;&lt;prefs&gt;&lt;pref name="fieldType" value="Bookmark"/&gt;&lt;pref name="storeRef</vt:lpwstr>
  </property>
  <property fmtid="{D5CDD505-2E9C-101B-9397-08002B2CF9AE}" pid="868" name="ZOTERO_PREF_2">
    <vt:lpwstr>erences" value="true"/&gt;&lt;pref name="automaticJournalAbbreviations" value="true"/&gt;&lt;pref name="noteType" value=""/&gt;&lt;/prefs&gt;&lt;/data&gt;</vt:lpwstr>
  </property>
</Properties>
</file>